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E96C" w14:textId="77777777" w:rsidR="00F92F1E" w:rsidRPr="00F92F1E" w:rsidRDefault="00F92F1E" w:rsidP="00F92F1E">
      <w:pPr>
        <w:pStyle w:val="Heading1"/>
      </w:pPr>
      <w:bookmarkStart w:id="0" w:name="_Toc120299645"/>
      <w:r w:rsidRPr="00F92F1E">
        <w:t>FIRE SAFETY GUIDANCE NOTE: CATERING KITCHEN EXTRACT SYSTEMS</w:t>
      </w:r>
      <w:bookmarkEnd w:id="0"/>
    </w:p>
    <w:p w14:paraId="0EAB9833" w14:textId="77777777" w:rsidR="00F92F1E" w:rsidRPr="00F92F1E" w:rsidRDefault="00F92F1E" w:rsidP="00F92F1E">
      <w:pPr>
        <w:spacing w:after="0" w:line="240" w:lineRule="auto"/>
        <w:jc w:val="both"/>
        <w:rPr>
          <w:rFonts w:ascii="Arial" w:hAnsi="Arial" w:cs="Arial"/>
          <w:b/>
          <w:color w:val="000000" w:themeColor="text1"/>
          <w:sz w:val="24"/>
          <w:szCs w:val="24"/>
        </w:rPr>
      </w:pPr>
    </w:p>
    <w:sdt>
      <w:sdtPr>
        <w:rPr>
          <w:rFonts w:ascii="Arial" w:hAnsi="Arial"/>
          <w:color w:val="000000" w:themeColor="text1"/>
          <w:sz w:val="24"/>
        </w:rPr>
        <w:id w:val="75642196"/>
        <w:docPartObj>
          <w:docPartGallery w:val="Table of Contents"/>
          <w:docPartUnique/>
        </w:docPartObj>
      </w:sdtPr>
      <w:sdtEndPr>
        <w:rPr>
          <w:b/>
          <w:bCs/>
          <w:noProof/>
        </w:rPr>
      </w:sdtEndPr>
      <w:sdtContent>
        <w:p w14:paraId="67FA8656" w14:textId="77777777" w:rsidR="00F92F1E" w:rsidRPr="00F92F1E" w:rsidRDefault="00F92F1E" w:rsidP="00F92F1E">
          <w:pPr>
            <w:keepNext/>
            <w:keepLines/>
            <w:spacing w:after="0" w:line="240" w:lineRule="auto"/>
            <w:rPr>
              <w:rFonts w:ascii="Arial" w:eastAsiaTheme="majorEastAsia" w:hAnsi="Arial" w:cs="Arial"/>
              <w:color w:val="000000" w:themeColor="text1"/>
              <w:sz w:val="24"/>
              <w:szCs w:val="24"/>
              <w:u w:val="single"/>
              <w:lang w:val="en-US"/>
            </w:rPr>
          </w:pPr>
          <w:r w:rsidRPr="00F92F1E">
            <w:rPr>
              <w:rFonts w:ascii="Arial" w:eastAsiaTheme="majorEastAsia" w:hAnsi="Arial" w:cs="Arial"/>
              <w:color w:val="000000" w:themeColor="text1"/>
              <w:sz w:val="24"/>
              <w:szCs w:val="24"/>
              <w:u w:val="single"/>
              <w:lang w:val="en-US"/>
            </w:rPr>
            <w:t>Contents</w:t>
          </w:r>
        </w:p>
        <w:p w14:paraId="110078B9" w14:textId="77777777" w:rsidR="00F92F1E" w:rsidRPr="00F92F1E" w:rsidRDefault="00F92F1E" w:rsidP="00F92F1E">
          <w:pPr>
            <w:spacing w:after="0" w:line="240" w:lineRule="auto"/>
            <w:jc w:val="both"/>
            <w:rPr>
              <w:rFonts w:ascii="Arial" w:hAnsi="Arial"/>
              <w:color w:val="000000" w:themeColor="text1"/>
              <w:sz w:val="24"/>
              <w:lang w:val="en-US"/>
            </w:rPr>
          </w:pPr>
        </w:p>
        <w:p w14:paraId="127CBF1B" w14:textId="3BE14708" w:rsidR="00F92F1E" w:rsidRPr="00F92F1E" w:rsidRDefault="00F92F1E" w:rsidP="00F92F1E">
          <w:pPr>
            <w:pStyle w:val="TOC1"/>
            <w:rPr>
              <w:rFonts w:ascii="Arial" w:hAnsi="Arial" w:cs="Arial"/>
              <w:noProof/>
              <w:sz w:val="24"/>
              <w:szCs w:val="24"/>
            </w:rPr>
          </w:pPr>
          <w:r w:rsidRPr="00F92F1E">
            <w:rPr>
              <w:color w:val="000000" w:themeColor="text1"/>
            </w:rPr>
            <w:fldChar w:fldCharType="begin"/>
          </w:r>
          <w:r w:rsidRPr="00F92F1E">
            <w:rPr>
              <w:color w:val="000000" w:themeColor="text1"/>
            </w:rPr>
            <w:instrText xml:space="preserve"> TOC \o "1-3" \h \z \u </w:instrText>
          </w:r>
          <w:r w:rsidRPr="00F92F1E">
            <w:rPr>
              <w:color w:val="000000" w:themeColor="text1"/>
            </w:rPr>
            <w:fldChar w:fldCharType="separate"/>
          </w:r>
          <w:hyperlink w:anchor="_Toc120299646" w:history="1">
            <w:r w:rsidRPr="00F92F1E">
              <w:rPr>
                <w:rStyle w:val="Hyperlink"/>
                <w:rFonts w:ascii="Arial" w:hAnsi="Arial" w:cs="Arial"/>
                <w:noProof/>
                <w:sz w:val="24"/>
                <w:szCs w:val="24"/>
              </w:rPr>
              <w:t>1</w:t>
            </w:r>
            <w:r w:rsidRPr="00F92F1E">
              <w:rPr>
                <w:rStyle w:val="Hyperlink"/>
                <w:rFonts w:ascii="Arial" w:hAnsi="Arial" w:cs="Arial"/>
                <w:noProof/>
                <w:sz w:val="24"/>
                <w:szCs w:val="24"/>
              </w:rPr>
              <w:tab/>
              <w:t>Introduction</w:t>
            </w:r>
            <w:r w:rsidRPr="00F92F1E">
              <w:rPr>
                <w:rFonts w:ascii="Arial" w:hAnsi="Arial" w:cs="Arial"/>
                <w:noProof/>
                <w:webHidden/>
                <w:sz w:val="24"/>
                <w:szCs w:val="24"/>
              </w:rPr>
              <w:tab/>
            </w:r>
            <w:r w:rsidRPr="00F92F1E">
              <w:rPr>
                <w:rFonts w:ascii="Arial" w:hAnsi="Arial" w:cs="Arial"/>
                <w:noProof/>
                <w:webHidden/>
                <w:sz w:val="24"/>
                <w:szCs w:val="24"/>
              </w:rPr>
              <w:fldChar w:fldCharType="begin"/>
            </w:r>
            <w:r w:rsidRPr="00F92F1E">
              <w:rPr>
                <w:rFonts w:ascii="Arial" w:hAnsi="Arial" w:cs="Arial"/>
                <w:noProof/>
                <w:webHidden/>
                <w:sz w:val="24"/>
                <w:szCs w:val="24"/>
              </w:rPr>
              <w:instrText xml:space="preserve"> PAGEREF _Toc120299646 \h </w:instrText>
            </w:r>
            <w:r w:rsidRPr="00F92F1E">
              <w:rPr>
                <w:rFonts w:ascii="Arial" w:hAnsi="Arial" w:cs="Arial"/>
                <w:noProof/>
                <w:webHidden/>
                <w:sz w:val="24"/>
                <w:szCs w:val="24"/>
              </w:rPr>
            </w:r>
            <w:r w:rsidRPr="00F92F1E">
              <w:rPr>
                <w:rFonts w:ascii="Arial" w:hAnsi="Arial" w:cs="Arial"/>
                <w:noProof/>
                <w:webHidden/>
                <w:sz w:val="24"/>
                <w:szCs w:val="24"/>
              </w:rPr>
              <w:fldChar w:fldCharType="separate"/>
            </w:r>
            <w:r w:rsidRPr="00F92F1E">
              <w:rPr>
                <w:rFonts w:ascii="Arial" w:hAnsi="Arial" w:cs="Arial"/>
                <w:noProof/>
                <w:webHidden/>
                <w:sz w:val="24"/>
                <w:szCs w:val="24"/>
              </w:rPr>
              <w:t>1</w:t>
            </w:r>
            <w:r w:rsidRPr="00F92F1E">
              <w:rPr>
                <w:rFonts w:ascii="Arial" w:hAnsi="Arial" w:cs="Arial"/>
                <w:noProof/>
                <w:webHidden/>
                <w:sz w:val="24"/>
                <w:szCs w:val="24"/>
              </w:rPr>
              <w:fldChar w:fldCharType="end"/>
            </w:r>
          </w:hyperlink>
        </w:p>
        <w:p w14:paraId="56BC322B" w14:textId="521B5A49" w:rsidR="00F92F1E" w:rsidRPr="00F92F1E" w:rsidRDefault="00F92F1E" w:rsidP="00F92F1E">
          <w:pPr>
            <w:pStyle w:val="TOC1"/>
            <w:rPr>
              <w:rFonts w:ascii="Arial" w:hAnsi="Arial" w:cs="Arial"/>
              <w:noProof/>
              <w:sz w:val="24"/>
              <w:szCs w:val="24"/>
            </w:rPr>
          </w:pPr>
          <w:hyperlink w:anchor="_Toc120299647" w:history="1">
            <w:r w:rsidRPr="00F92F1E">
              <w:rPr>
                <w:rStyle w:val="Hyperlink"/>
                <w:rFonts w:ascii="Arial" w:hAnsi="Arial" w:cs="Arial"/>
                <w:noProof/>
                <w:sz w:val="24"/>
                <w:szCs w:val="24"/>
              </w:rPr>
              <w:t>2</w:t>
            </w:r>
            <w:r w:rsidRPr="00F92F1E">
              <w:rPr>
                <w:rFonts w:ascii="Arial" w:hAnsi="Arial" w:cs="Arial"/>
                <w:noProof/>
                <w:sz w:val="24"/>
                <w:szCs w:val="24"/>
              </w:rPr>
              <w:tab/>
            </w:r>
            <w:r w:rsidRPr="00F92F1E">
              <w:rPr>
                <w:rStyle w:val="Hyperlink"/>
                <w:rFonts w:ascii="Arial" w:hAnsi="Arial" w:cs="Arial"/>
                <w:noProof/>
                <w:sz w:val="24"/>
                <w:szCs w:val="24"/>
              </w:rPr>
              <w:t>Matters for consideration</w:t>
            </w:r>
            <w:r w:rsidRPr="00F92F1E">
              <w:rPr>
                <w:rFonts w:ascii="Arial" w:hAnsi="Arial" w:cs="Arial"/>
                <w:noProof/>
                <w:webHidden/>
                <w:sz w:val="24"/>
                <w:szCs w:val="24"/>
              </w:rPr>
              <w:tab/>
            </w:r>
            <w:r w:rsidRPr="00F92F1E">
              <w:rPr>
                <w:rFonts w:ascii="Arial" w:hAnsi="Arial" w:cs="Arial"/>
                <w:noProof/>
                <w:webHidden/>
                <w:sz w:val="24"/>
                <w:szCs w:val="24"/>
              </w:rPr>
              <w:fldChar w:fldCharType="begin"/>
            </w:r>
            <w:r w:rsidRPr="00F92F1E">
              <w:rPr>
                <w:rFonts w:ascii="Arial" w:hAnsi="Arial" w:cs="Arial"/>
                <w:noProof/>
                <w:webHidden/>
                <w:sz w:val="24"/>
                <w:szCs w:val="24"/>
              </w:rPr>
              <w:instrText xml:space="preserve"> PAGEREF _Toc120299647 \h </w:instrText>
            </w:r>
            <w:r w:rsidRPr="00F92F1E">
              <w:rPr>
                <w:rFonts w:ascii="Arial" w:hAnsi="Arial" w:cs="Arial"/>
                <w:noProof/>
                <w:webHidden/>
                <w:sz w:val="24"/>
                <w:szCs w:val="24"/>
              </w:rPr>
            </w:r>
            <w:r w:rsidRPr="00F92F1E">
              <w:rPr>
                <w:rFonts w:ascii="Arial" w:hAnsi="Arial" w:cs="Arial"/>
                <w:noProof/>
                <w:webHidden/>
                <w:sz w:val="24"/>
                <w:szCs w:val="24"/>
              </w:rPr>
              <w:fldChar w:fldCharType="separate"/>
            </w:r>
            <w:r w:rsidRPr="00F92F1E">
              <w:rPr>
                <w:rFonts w:ascii="Arial" w:hAnsi="Arial" w:cs="Arial"/>
                <w:noProof/>
                <w:webHidden/>
                <w:sz w:val="24"/>
                <w:szCs w:val="24"/>
              </w:rPr>
              <w:t>1</w:t>
            </w:r>
            <w:r w:rsidRPr="00F92F1E">
              <w:rPr>
                <w:rFonts w:ascii="Arial" w:hAnsi="Arial" w:cs="Arial"/>
                <w:noProof/>
                <w:webHidden/>
                <w:sz w:val="24"/>
                <w:szCs w:val="24"/>
              </w:rPr>
              <w:fldChar w:fldCharType="end"/>
            </w:r>
          </w:hyperlink>
        </w:p>
        <w:p w14:paraId="0CDD80C7" w14:textId="48873407" w:rsidR="00F92F1E" w:rsidRPr="00F92F1E" w:rsidRDefault="00F92F1E" w:rsidP="00F92F1E">
          <w:pPr>
            <w:pStyle w:val="TOC1"/>
            <w:rPr>
              <w:rFonts w:ascii="Arial" w:hAnsi="Arial" w:cs="Arial"/>
              <w:noProof/>
              <w:sz w:val="24"/>
              <w:szCs w:val="24"/>
            </w:rPr>
          </w:pPr>
          <w:hyperlink w:anchor="_Toc120299648" w:history="1">
            <w:r w:rsidRPr="00F92F1E">
              <w:rPr>
                <w:rStyle w:val="Hyperlink"/>
                <w:rFonts w:ascii="Arial" w:hAnsi="Arial" w:cs="Arial"/>
                <w:noProof/>
                <w:sz w:val="24"/>
                <w:szCs w:val="24"/>
              </w:rPr>
              <w:t>3</w:t>
            </w:r>
            <w:r w:rsidRPr="00F92F1E">
              <w:rPr>
                <w:rFonts w:ascii="Arial" w:hAnsi="Arial" w:cs="Arial"/>
                <w:noProof/>
                <w:sz w:val="24"/>
                <w:szCs w:val="24"/>
              </w:rPr>
              <w:tab/>
            </w:r>
            <w:r w:rsidRPr="00F92F1E">
              <w:rPr>
                <w:rStyle w:val="Hyperlink"/>
                <w:rFonts w:ascii="Arial" w:hAnsi="Arial" w:cs="Arial"/>
                <w:noProof/>
                <w:sz w:val="24"/>
                <w:szCs w:val="24"/>
              </w:rPr>
              <w:t>Cleaning</w:t>
            </w:r>
            <w:r w:rsidRPr="00F92F1E">
              <w:rPr>
                <w:rFonts w:ascii="Arial" w:hAnsi="Arial" w:cs="Arial"/>
                <w:noProof/>
                <w:webHidden/>
                <w:sz w:val="24"/>
                <w:szCs w:val="24"/>
              </w:rPr>
              <w:tab/>
            </w:r>
            <w:r w:rsidRPr="00F92F1E">
              <w:rPr>
                <w:rFonts w:ascii="Arial" w:hAnsi="Arial" w:cs="Arial"/>
                <w:noProof/>
                <w:webHidden/>
                <w:sz w:val="24"/>
                <w:szCs w:val="24"/>
              </w:rPr>
              <w:fldChar w:fldCharType="begin"/>
            </w:r>
            <w:r w:rsidRPr="00F92F1E">
              <w:rPr>
                <w:rFonts w:ascii="Arial" w:hAnsi="Arial" w:cs="Arial"/>
                <w:noProof/>
                <w:webHidden/>
                <w:sz w:val="24"/>
                <w:szCs w:val="24"/>
              </w:rPr>
              <w:instrText xml:space="preserve"> PAGEREF _Toc120299648 \h </w:instrText>
            </w:r>
            <w:r w:rsidRPr="00F92F1E">
              <w:rPr>
                <w:rFonts w:ascii="Arial" w:hAnsi="Arial" w:cs="Arial"/>
                <w:noProof/>
                <w:webHidden/>
                <w:sz w:val="24"/>
                <w:szCs w:val="24"/>
              </w:rPr>
            </w:r>
            <w:r w:rsidRPr="00F92F1E">
              <w:rPr>
                <w:rFonts w:ascii="Arial" w:hAnsi="Arial" w:cs="Arial"/>
                <w:noProof/>
                <w:webHidden/>
                <w:sz w:val="24"/>
                <w:szCs w:val="24"/>
              </w:rPr>
              <w:fldChar w:fldCharType="separate"/>
            </w:r>
            <w:r w:rsidRPr="00F92F1E">
              <w:rPr>
                <w:rFonts w:ascii="Arial" w:hAnsi="Arial" w:cs="Arial"/>
                <w:noProof/>
                <w:webHidden/>
                <w:sz w:val="24"/>
                <w:szCs w:val="24"/>
              </w:rPr>
              <w:t>3</w:t>
            </w:r>
            <w:r w:rsidRPr="00F92F1E">
              <w:rPr>
                <w:rFonts w:ascii="Arial" w:hAnsi="Arial" w:cs="Arial"/>
                <w:noProof/>
                <w:webHidden/>
                <w:sz w:val="24"/>
                <w:szCs w:val="24"/>
              </w:rPr>
              <w:fldChar w:fldCharType="end"/>
            </w:r>
          </w:hyperlink>
        </w:p>
        <w:p w14:paraId="28A20E03" w14:textId="0FF823F1" w:rsidR="00F92F1E" w:rsidRPr="00F92F1E" w:rsidRDefault="00F92F1E" w:rsidP="00F92F1E">
          <w:pPr>
            <w:pStyle w:val="TOC1"/>
            <w:ind w:left="564" w:hanging="564"/>
            <w:rPr>
              <w:rFonts w:ascii="Arial" w:hAnsi="Arial" w:cs="Arial"/>
              <w:noProof/>
              <w:sz w:val="24"/>
              <w:szCs w:val="24"/>
            </w:rPr>
          </w:pPr>
          <w:hyperlink w:anchor="_Toc120299649" w:history="1">
            <w:r w:rsidRPr="00F92F1E">
              <w:rPr>
                <w:rStyle w:val="Hyperlink"/>
                <w:rFonts w:ascii="Arial" w:hAnsi="Arial" w:cs="Arial"/>
                <w:noProof/>
                <w:sz w:val="24"/>
                <w:szCs w:val="24"/>
              </w:rPr>
              <w:t>4</w:t>
            </w:r>
            <w:r w:rsidRPr="00F92F1E">
              <w:rPr>
                <w:rFonts w:ascii="Arial" w:hAnsi="Arial" w:cs="Arial"/>
                <w:noProof/>
                <w:sz w:val="24"/>
                <w:szCs w:val="24"/>
              </w:rPr>
              <w:tab/>
              <w:t>C</w:t>
            </w:r>
            <w:r w:rsidRPr="00F92F1E">
              <w:rPr>
                <w:rStyle w:val="Hyperlink"/>
                <w:rFonts w:ascii="Arial" w:hAnsi="Arial" w:cs="Arial"/>
                <w:noProof/>
                <w:sz w:val="24"/>
                <w:szCs w:val="24"/>
              </w:rPr>
              <w:t>atering kitchen extract systems and the regulatory reform (fire safety) order 2005 (the order)</w:t>
            </w:r>
            <w:r w:rsidRPr="00F92F1E">
              <w:rPr>
                <w:rFonts w:ascii="Arial" w:hAnsi="Arial" w:cs="Arial"/>
                <w:noProof/>
                <w:webHidden/>
                <w:sz w:val="24"/>
                <w:szCs w:val="24"/>
              </w:rPr>
              <w:tab/>
            </w:r>
            <w:r w:rsidRPr="00F92F1E">
              <w:rPr>
                <w:rFonts w:ascii="Arial" w:hAnsi="Arial" w:cs="Arial"/>
                <w:noProof/>
                <w:webHidden/>
                <w:sz w:val="24"/>
                <w:szCs w:val="24"/>
              </w:rPr>
              <w:fldChar w:fldCharType="begin"/>
            </w:r>
            <w:r w:rsidRPr="00F92F1E">
              <w:rPr>
                <w:rFonts w:ascii="Arial" w:hAnsi="Arial" w:cs="Arial"/>
                <w:noProof/>
                <w:webHidden/>
                <w:sz w:val="24"/>
                <w:szCs w:val="24"/>
              </w:rPr>
              <w:instrText xml:space="preserve"> PAGEREF _Toc120299649 \h </w:instrText>
            </w:r>
            <w:r w:rsidRPr="00F92F1E">
              <w:rPr>
                <w:rFonts w:ascii="Arial" w:hAnsi="Arial" w:cs="Arial"/>
                <w:noProof/>
                <w:webHidden/>
                <w:sz w:val="24"/>
                <w:szCs w:val="24"/>
              </w:rPr>
            </w:r>
            <w:r w:rsidRPr="00F92F1E">
              <w:rPr>
                <w:rFonts w:ascii="Arial" w:hAnsi="Arial" w:cs="Arial"/>
                <w:noProof/>
                <w:webHidden/>
                <w:sz w:val="24"/>
                <w:szCs w:val="24"/>
              </w:rPr>
              <w:fldChar w:fldCharType="separate"/>
            </w:r>
            <w:r w:rsidRPr="00F92F1E">
              <w:rPr>
                <w:rFonts w:ascii="Arial" w:hAnsi="Arial" w:cs="Arial"/>
                <w:noProof/>
                <w:webHidden/>
                <w:sz w:val="24"/>
                <w:szCs w:val="24"/>
              </w:rPr>
              <w:t>4</w:t>
            </w:r>
            <w:r w:rsidRPr="00F92F1E">
              <w:rPr>
                <w:rFonts w:ascii="Arial" w:hAnsi="Arial" w:cs="Arial"/>
                <w:noProof/>
                <w:webHidden/>
                <w:sz w:val="24"/>
                <w:szCs w:val="24"/>
              </w:rPr>
              <w:fldChar w:fldCharType="end"/>
            </w:r>
          </w:hyperlink>
        </w:p>
        <w:p w14:paraId="6C005A03" w14:textId="1426BE75" w:rsidR="00F92F1E" w:rsidRPr="00F92F1E" w:rsidRDefault="00F92F1E" w:rsidP="00F92F1E">
          <w:pPr>
            <w:pStyle w:val="TOC1"/>
            <w:rPr>
              <w:rFonts w:ascii="Arial" w:hAnsi="Arial" w:cs="Arial"/>
              <w:noProof/>
              <w:sz w:val="24"/>
              <w:szCs w:val="24"/>
            </w:rPr>
          </w:pPr>
          <w:hyperlink w:anchor="_Toc120299650" w:history="1">
            <w:r w:rsidRPr="00F92F1E">
              <w:rPr>
                <w:rStyle w:val="Hyperlink"/>
                <w:rFonts w:ascii="Arial" w:hAnsi="Arial" w:cs="Arial"/>
                <w:noProof/>
                <w:sz w:val="24"/>
                <w:szCs w:val="24"/>
              </w:rPr>
              <w:t>5</w:t>
            </w:r>
            <w:r w:rsidRPr="00F92F1E">
              <w:rPr>
                <w:rFonts w:ascii="Arial" w:hAnsi="Arial" w:cs="Arial"/>
                <w:noProof/>
                <w:sz w:val="24"/>
                <w:szCs w:val="24"/>
              </w:rPr>
              <w:tab/>
            </w:r>
            <w:r w:rsidRPr="00F92F1E">
              <w:rPr>
                <w:rStyle w:val="Hyperlink"/>
                <w:rFonts w:ascii="Arial" w:hAnsi="Arial" w:cs="Arial"/>
                <w:noProof/>
                <w:sz w:val="24"/>
                <w:szCs w:val="24"/>
              </w:rPr>
              <w:t>Bibliography</w:t>
            </w:r>
            <w:r w:rsidRPr="00F92F1E">
              <w:rPr>
                <w:rFonts w:ascii="Arial" w:hAnsi="Arial" w:cs="Arial"/>
                <w:noProof/>
                <w:webHidden/>
                <w:sz w:val="24"/>
                <w:szCs w:val="24"/>
              </w:rPr>
              <w:tab/>
            </w:r>
            <w:r w:rsidRPr="00F92F1E">
              <w:rPr>
                <w:rFonts w:ascii="Arial" w:hAnsi="Arial" w:cs="Arial"/>
                <w:noProof/>
                <w:webHidden/>
                <w:sz w:val="24"/>
                <w:szCs w:val="24"/>
              </w:rPr>
              <w:fldChar w:fldCharType="begin"/>
            </w:r>
            <w:r w:rsidRPr="00F92F1E">
              <w:rPr>
                <w:rFonts w:ascii="Arial" w:hAnsi="Arial" w:cs="Arial"/>
                <w:noProof/>
                <w:webHidden/>
                <w:sz w:val="24"/>
                <w:szCs w:val="24"/>
              </w:rPr>
              <w:instrText xml:space="preserve"> PAGEREF _Toc120299650 \h </w:instrText>
            </w:r>
            <w:r w:rsidRPr="00F92F1E">
              <w:rPr>
                <w:rFonts w:ascii="Arial" w:hAnsi="Arial" w:cs="Arial"/>
                <w:noProof/>
                <w:webHidden/>
                <w:sz w:val="24"/>
                <w:szCs w:val="24"/>
              </w:rPr>
            </w:r>
            <w:r w:rsidRPr="00F92F1E">
              <w:rPr>
                <w:rFonts w:ascii="Arial" w:hAnsi="Arial" w:cs="Arial"/>
                <w:noProof/>
                <w:webHidden/>
                <w:sz w:val="24"/>
                <w:szCs w:val="24"/>
              </w:rPr>
              <w:fldChar w:fldCharType="separate"/>
            </w:r>
            <w:r w:rsidRPr="00F92F1E">
              <w:rPr>
                <w:rFonts w:ascii="Arial" w:hAnsi="Arial" w:cs="Arial"/>
                <w:noProof/>
                <w:webHidden/>
                <w:sz w:val="24"/>
                <w:szCs w:val="24"/>
              </w:rPr>
              <w:t>5</w:t>
            </w:r>
            <w:r w:rsidRPr="00F92F1E">
              <w:rPr>
                <w:rFonts w:ascii="Arial" w:hAnsi="Arial" w:cs="Arial"/>
                <w:noProof/>
                <w:webHidden/>
                <w:sz w:val="24"/>
                <w:szCs w:val="24"/>
              </w:rPr>
              <w:fldChar w:fldCharType="end"/>
            </w:r>
          </w:hyperlink>
        </w:p>
        <w:p w14:paraId="648A0585" w14:textId="084A4FA5" w:rsidR="00F92F1E" w:rsidRPr="00F92F1E" w:rsidRDefault="00F92F1E" w:rsidP="00F92F1E">
          <w:pPr>
            <w:pStyle w:val="TOC1"/>
            <w:rPr>
              <w:rFonts w:ascii="Arial" w:hAnsi="Arial" w:cs="Arial"/>
              <w:noProof/>
              <w:sz w:val="24"/>
              <w:szCs w:val="24"/>
            </w:rPr>
          </w:pPr>
        </w:p>
        <w:p w14:paraId="1E02B6D4" w14:textId="3C684C77" w:rsidR="00F92F1E" w:rsidRPr="00F92F1E" w:rsidRDefault="00F92F1E" w:rsidP="00F92F1E">
          <w:pPr>
            <w:pStyle w:val="TOC1"/>
            <w:rPr>
              <w:rFonts w:ascii="Arial" w:hAnsi="Arial" w:cs="Arial"/>
              <w:noProof/>
              <w:sz w:val="24"/>
              <w:szCs w:val="24"/>
            </w:rPr>
          </w:pPr>
          <w:hyperlink w:anchor="_Toc120299652" w:history="1">
            <w:r w:rsidRPr="00F92F1E">
              <w:rPr>
                <w:rStyle w:val="Hyperlink"/>
                <w:rFonts w:ascii="Arial" w:hAnsi="Arial" w:cs="Arial"/>
                <w:noProof/>
                <w:sz w:val="24"/>
                <w:szCs w:val="24"/>
              </w:rPr>
              <w:t>Appendix A - Diagram of a catering kitchen extract system</w:t>
            </w:r>
            <w:r w:rsidRPr="00F92F1E">
              <w:rPr>
                <w:rFonts w:ascii="Arial" w:hAnsi="Arial" w:cs="Arial"/>
                <w:noProof/>
                <w:webHidden/>
                <w:sz w:val="24"/>
                <w:szCs w:val="24"/>
              </w:rPr>
              <w:tab/>
            </w:r>
            <w:r w:rsidRPr="00F92F1E">
              <w:rPr>
                <w:rFonts w:ascii="Arial" w:hAnsi="Arial" w:cs="Arial"/>
                <w:noProof/>
                <w:webHidden/>
                <w:sz w:val="24"/>
                <w:szCs w:val="24"/>
              </w:rPr>
              <w:fldChar w:fldCharType="begin"/>
            </w:r>
            <w:r w:rsidRPr="00F92F1E">
              <w:rPr>
                <w:rFonts w:ascii="Arial" w:hAnsi="Arial" w:cs="Arial"/>
                <w:noProof/>
                <w:webHidden/>
                <w:sz w:val="24"/>
                <w:szCs w:val="24"/>
              </w:rPr>
              <w:instrText xml:space="preserve"> PAGEREF _Toc120299652 \h </w:instrText>
            </w:r>
            <w:r w:rsidRPr="00F92F1E">
              <w:rPr>
                <w:rFonts w:ascii="Arial" w:hAnsi="Arial" w:cs="Arial"/>
                <w:noProof/>
                <w:webHidden/>
                <w:sz w:val="24"/>
                <w:szCs w:val="24"/>
              </w:rPr>
            </w:r>
            <w:r w:rsidRPr="00F92F1E">
              <w:rPr>
                <w:rFonts w:ascii="Arial" w:hAnsi="Arial" w:cs="Arial"/>
                <w:noProof/>
                <w:webHidden/>
                <w:sz w:val="24"/>
                <w:szCs w:val="24"/>
              </w:rPr>
              <w:fldChar w:fldCharType="separate"/>
            </w:r>
            <w:r w:rsidRPr="00F92F1E">
              <w:rPr>
                <w:rFonts w:ascii="Arial" w:hAnsi="Arial" w:cs="Arial"/>
                <w:noProof/>
                <w:webHidden/>
                <w:sz w:val="24"/>
                <w:szCs w:val="24"/>
              </w:rPr>
              <w:t>7</w:t>
            </w:r>
            <w:r w:rsidRPr="00F92F1E">
              <w:rPr>
                <w:rFonts w:ascii="Arial" w:hAnsi="Arial" w:cs="Arial"/>
                <w:noProof/>
                <w:webHidden/>
                <w:sz w:val="24"/>
                <w:szCs w:val="24"/>
              </w:rPr>
              <w:fldChar w:fldCharType="end"/>
            </w:r>
          </w:hyperlink>
        </w:p>
        <w:p w14:paraId="72B521FB" w14:textId="2604A44A" w:rsidR="00F92F1E" w:rsidRPr="00F92F1E" w:rsidRDefault="00F92F1E" w:rsidP="00F92F1E">
          <w:pPr>
            <w:pStyle w:val="TOC1"/>
            <w:rPr>
              <w:rFonts w:ascii="Arial" w:hAnsi="Arial" w:cs="Arial"/>
              <w:noProof/>
              <w:sz w:val="24"/>
              <w:szCs w:val="24"/>
            </w:rPr>
          </w:pPr>
          <w:hyperlink w:anchor="_Toc120299654" w:history="1">
            <w:r w:rsidRPr="00F92F1E">
              <w:rPr>
                <w:rStyle w:val="Hyperlink"/>
                <w:rFonts w:ascii="Arial" w:hAnsi="Arial" w:cs="Arial"/>
                <w:noProof/>
                <w:sz w:val="24"/>
                <w:szCs w:val="24"/>
                <w:lang w:val="en" w:eastAsia="en-GB"/>
              </w:rPr>
              <w:t>Appendix B - Catering kitchen extract system aide-memoire</w:t>
            </w:r>
            <w:r w:rsidRPr="00F92F1E">
              <w:rPr>
                <w:rFonts w:ascii="Arial" w:hAnsi="Arial" w:cs="Arial"/>
                <w:noProof/>
                <w:webHidden/>
                <w:sz w:val="24"/>
                <w:szCs w:val="24"/>
              </w:rPr>
              <w:tab/>
            </w:r>
            <w:r w:rsidRPr="00F92F1E">
              <w:rPr>
                <w:rFonts w:ascii="Arial" w:hAnsi="Arial" w:cs="Arial"/>
                <w:noProof/>
                <w:webHidden/>
                <w:sz w:val="24"/>
                <w:szCs w:val="24"/>
              </w:rPr>
              <w:fldChar w:fldCharType="begin"/>
            </w:r>
            <w:r w:rsidRPr="00F92F1E">
              <w:rPr>
                <w:rFonts w:ascii="Arial" w:hAnsi="Arial" w:cs="Arial"/>
                <w:noProof/>
                <w:webHidden/>
                <w:sz w:val="24"/>
                <w:szCs w:val="24"/>
              </w:rPr>
              <w:instrText xml:space="preserve"> PAGEREF _Toc120299654 \h </w:instrText>
            </w:r>
            <w:r w:rsidRPr="00F92F1E">
              <w:rPr>
                <w:rFonts w:ascii="Arial" w:hAnsi="Arial" w:cs="Arial"/>
                <w:noProof/>
                <w:webHidden/>
                <w:sz w:val="24"/>
                <w:szCs w:val="24"/>
              </w:rPr>
            </w:r>
            <w:r w:rsidRPr="00F92F1E">
              <w:rPr>
                <w:rFonts w:ascii="Arial" w:hAnsi="Arial" w:cs="Arial"/>
                <w:noProof/>
                <w:webHidden/>
                <w:sz w:val="24"/>
                <w:szCs w:val="24"/>
              </w:rPr>
              <w:fldChar w:fldCharType="separate"/>
            </w:r>
            <w:r w:rsidRPr="00F92F1E">
              <w:rPr>
                <w:rFonts w:ascii="Arial" w:hAnsi="Arial" w:cs="Arial"/>
                <w:noProof/>
                <w:webHidden/>
                <w:sz w:val="24"/>
                <w:szCs w:val="24"/>
              </w:rPr>
              <w:t>8</w:t>
            </w:r>
            <w:r w:rsidRPr="00F92F1E">
              <w:rPr>
                <w:rFonts w:ascii="Arial" w:hAnsi="Arial" w:cs="Arial"/>
                <w:noProof/>
                <w:webHidden/>
                <w:sz w:val="24"/>
                <w:szCs w:val="24"/>
              </w:rPr>
              <w:fldChar w:fldCharType="end"/>
            </w:r>
          </w:hyperlink>
        </w:p>
        <w:p w14:paraId="3E17DE58" w14:textId="29E589AE" w:rsidR="00F92F1E" w:rsidRPr="00F92F1E" w:rsidRDefault="00F92F1E" w:rsidP="00F92F1E">
          <w:pPr>
            <w:spacing w:after="0" w:line="240" w:lineRule="auto"/>
            <w:jc w:val="both"/>
            <w:rPr>
              <w:rFonts w:ascii="Arial" w:hAnsi="Arial"/>
              <w:color w:val="000000" w:themeColor="text1"/>
              <w:sz w:val="24"/>
            </w:rPr>
          </w:pPr>
          <w:r w:rsidRPr="00F92F1E">
            <w:rPr>
              <w:rFonts w:ascii="Arial" w:hAnsi="Arial" w:cs="Arial"/>
              <w:b/>
              <w:bCs/>
              <w:noProof/>
              <w:color w:val="000000" w:themeColor="text1"/>
              <w:sz w:val="24"/>
              <w:szCs w:val="24"/>
            </w:rPr>
            <w:fldChar w:fldCharType="end"/>
          </w:r>
        </w:p>
      </w:sdtContent>
    </w:sdt>
    <w:p w14:paraId="34B9BCC5" w14:textId="77777777" w:rsidR="00F92F1E" w:rsidRPr="00F92F1E" w:rsidRDefault="00F92F1E" w:rsidP="00F92F1E">
      <w:pPr>
        <w:pStyle w:val="Heading1"/>
        <w:tabs>
          <w:tab w:val="left" w:pos="567"/>
        </w:tabs>
      </w:pPr>
      <w:bookmarkStart w:id="1" w:name="WhatisProtectiveMarking"/>
      <w:bookmarkStart w:id="2" w:name="_Toc120299646"/>
      <w:bookmarkEnd w:id="1"/>
      <w:r w:rsidRPr="00F92F1E">
        <w:t>1</w:t>
      </w:r>
      <w:r w:rsidRPr="00F92F1E">
        <w:tab/>
        <w:t>iNTRODUCTION</w:t>
      </w:r>
      <w:bookmarkEnd w:id="2"/>
    </w:p>
    <w:p w14:paraId="548BB37F" w14:textId="77777777" w:rsidR="00F92F1E" w:rsidRPr="00F92F1E" w:rsidRDefault="00F92F1E" w:rsidP="00F92F1E">
      <w:pPr>
        <w:spacing w:after="0" w:line="240" w:lineRule="auto"/>
        <w:rPr>
          <w:rFonts w:ascii="Arial" w:hAnsi="Arial" w:cs="Arial"/>
          <w:color w:val="000000" w:themeColor="text1"/>
          <w:sz w:val="24"/>
          <w:szCs w:val="24"/>
          <w:u w:val="single"/>
        </w:rPr>
      </w:pPr>
    </w:p>
    <w:p w14:paraId="0E71F87D"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The term catering has a dictionary definition of “the business of providing food service at a site such as a hotel, public house, restaurant or any other location where cooking facilities that utilise ductwork is carried out”.  This may include or impact on some domestic premises.</w:t>
      </w:r>
    </w:p>
    <w:p w14:paraId="455695B9" w14:textId="77777777" w:rsidR="00F92F1E" w:rsidRPr="00F92F1E" w:rsidRDefault="00F92F1E" w:rsidP="00F92F1E">
      <w:pPr>
        <w:spacing w:after="0" w:line="240" w:lineRule="auto"/>
        <w:rPr>
          <w:rFonts w:ascii="Arial" w:hAnsi="Arial" w:cs="Arial"/>
          <w:color w:val="000000" w:themeColor="text1"/>
          <w:sz w:val="24"/>
          <w:szCs w:val="24"/>
        </w:rPr>
      </w:pPr>
    </w:p>
    <w:p w14:paraId="25BAAA88"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Catering kitchen extract systems (ducting systems) are designed to collect smoke, steam, grease, cooking odours and fumes from combustion appliances into a canopy, through filters, ductwork, and then be discharged to atmosphere.  Therefore, where food is prepared for business purposes in a kitchen and that kitchen is a place of work it will be subject to the Regulatory Reform (Fire Safety) Order 2005 (the Order).</w:t>
      </w:r>
    </w:p>
    <w:p w14:paraId="052CF276" w14:textId="77777777" w:rsidR="00F92F1E" w:rsidRPr="00F92F1E" w:rsidRDefault="00F92F1E" w:rsidP="00F92F1E">
      <w:pPr>
        <w:spacing w:after="0" w:line="240" w:lineRule="auto"/>
        <w:rPr>
          <w:rFonts w:ascii="Arial" w:hAnsi="Arial" w:cs="Arial"/>
          <w:color w:val="000000" w:themeColor="text1"/>
          <w:sz w:val="24"/>
          <w:szCs w:val="24"/>
        </w:rPr>
      </w:pPr>
    </w:p>
    <w:p w14:paraId="285E3E2F"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Fire Investigation Teams have previously stated that “by far the most common problem and cause of ducting fires is the lack of proper cleaning and maintenance”.  Therefore, any failure to observe a proper cleaning and maintenance regime could affect any subsequent insurance claim.</w:t>
      </w:r>
    </w:p>
    <w:p w14:paraId="42845615" w14:textId="77777777" w:rsidR="00F92F1E" w:rsidRPr="00F92F1E" w:rsidRDefault="00F92F1E" w:rsidP="00F92F1E">
      <w:pPr>
        <w:spacing w:after="0" w:line="240" w:lineRule="auto"/>
        <w:jc w:val="both"/>
        <w:rPr>
          <w:rFonts w:ascii="Arial" w:hAnsi="Arial" w:cs="Arial"/>
          <w:color w:val="000000" w:themeColor="text1"/>
          <w:sz w:val="24"/>
          <w:szCs w:val="24"/>
        </w:rPr>
      </w:pPr>
    </w:p>
    <w:p w14:paraId="69E748A1" w14:textId="77777777" w:rsidR="00F92F1E" w:rsidRPr="00F92F1E" w:rsidRDefault="00F92F1E" w:rsidP="00F92F1E">
      <w:pPr>
        <w:pStyle w:val="Heading1"/>
        <w:tabs>
          <w:tab w:val="left" w:pos="567"/>
        </w:tabs>
      </w:pPr>
      <w:bookmarkStart w:id="3" w:name="BalancingOpennesswithSecurity"/>
      <w:bookmarkStart w:id="4" w:name="_Toc120299647"/>
      <w:bookmarkEnd w:id="3"/>
      <w:r w:rsidRPr="00F92F1E">
        <w:t>2</w:t>
      </w:r>
      <w:r w:rsidRPr="00F92F1E">
        <w:tab/>
        <w:t>MATTERS FOR CONSIDERATION</w:t>
      </w:r>
      <w:bookmarkEnd w:id="4"/>
    </w:p>
    <w:p w14:paraId="68DA42FE" w14:textId="77777777" w:rsidR="00F92F1E" w:rsidRPr="00F92F1E" w:rsidRDefault="00F92F1E" w:rsidP="00F92F1E">
      <w:pPr>
        <w:spacing w:after="0" w:line="240" w:lineRule="auto"/>
        <w:jc w:val="both"/>
        <w:rPr>
          <w:rFonts w:ascii="Arial" w:eastAsia="Times New Roman" w:hAnsi="Arial" w:cs="Arial"/>
          <w:color w:val="000000" w:themeColor="text1"/>
          <w:sz w:val="24"/>
          <w:szCs w:val="24"/>
          <w:u w:val="single"/>
          <w:lang w:val="en" w:eastAsia="en-GB"/>
        </w:rPr>
      </w:pPr>
    </w:p>
    <w:p w14:paraId="184909CE"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A kitchen extract system would typically consist of the following components (see </w:t>
      </w:r>
      <w:hyperlink w:anchor="_DIAGRAM_OF_A" w:history="1">
        <w:r w:rsidRPr="00F92F1E">
          <w:rPr>
            <w:rFonts w:ascii="Arial" w:eastAsia="Times New Roman" w:hAnsi="Arial" w:cs="Arial"/>
            <w:color w:val="0000FF"/>
            <w:sz w:val="24"/>
            <w:szCs w:val="24"/>
            <w:u w:val="single"/>
            <w:lang w:val="en" w:eastAsia="en-GB"/>
          </w:rPr>
          <w:t>appendix A</w:t>
        </w:r>
      </w:hyperlink>
      <w:r w:rsidRPr="00F92F1E">
        <w:rPr>
          <w:rFonts w:ascii="Arial" w:eastAsia="Times New Roman" w:hAnsi="Arial" w:cs="Arial"/>
          <w:color w:val="000000" w:themeColor="text1"/>
          <w:sz w:val="24"/>
          <w:szCs w:val="24"/>
          <w:lang w:val="en" w:eastAsia="en-GB"/>
        </w:rPr>
        <w:t xml:space="preserve"> for an illustration):</w:t>
      </w:r>
    </w:p>
    <w:p w14:paraId="4509DD28" w14:textId="77777777" w:rsidR="00F92F1E" w:rsidRPr="00F92F1E" w:rsidRDefault="00F92F1E" w:rsidP="00F92F1E">
      <w:pPr>
        <w:numPr>
          <w:ilvl w:val="0"/>
          <w:numId w:val="13"/>
        </w:numPr>
        <w:tabs>
          <w:tab w:val="left" w:pos="426"/>
        </w:tabs>
        <w:spacing w:after="0" w:line="240" w:lineRule="auto"/>
        <w:ind w:left="426" w:hanging="283"/>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Canopy – this is also referred to as hood or cooking hood, and is where the grease filters are </w:t>
      </w:r>
      <w:proofErr w:type="gramStart"/>
      <w:r w:rsidRPr="00F92F1E">
        <w:rPr>
          <w:rFonts w:ascii="Arial" w:eastAsia="Times New Roman" w:hAnsi="Arial" w:cs="Arial"/>
          <w:color w:val="000000" w:themeColor="text1"/>
          <w:sz w:val="24"/>
          <w:szCs w:val="24"/>
          <w:lang w:val="en" w:eastAsia="en-GB"/>
        </w:rPr>
        <w:t>housed;</w:t>
      </w:r>
      <w:proofErr w:type="gramEnd"/>
    </w:p>
    <w:p w14:paraId="26761FA6" w14:textId="77777777" w:rsidR="00F92F1E" w:rsidRPr="00F92F1E" w:rsidRDefault="00F92F1E" w:rsidP="00F92F1E">
      <w:pPr>
        <w:numPr>
          <w:ilvl w:val="0"/>
          <w:numId w:val="13"/>
        </w:numPr>
        <w:tabs>
          <w:tab w:val="left" w:pos="426"/>
        </w:tabs>
        <w:spacing w:after="0" w:line="240" w:lineRule="auto"/>
        <w:ind w:left="426" w:hanging="283"/>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Canopy/extract plenum – this is typically the area immediately behind the grease filter housing and below where the ducting </w:t>
      </w:r>
      <w:proofErr w:type="gramStart"/>
      <w:r w:rsidRPr="00F92F1E">
        <w:rPr>
          <w:rFonts w:ascii="Arial" w:eastAsia="Times New Roman" w:hAnsi="Arial" w:cs="Arial"/>
          <w:color w:val="000000" w:themeColor="text1"/>
          <w:sz w:val="24"/>
          <w:szCs w:val="24"/>
          <w:lang w:val="en" w:eastAsia="en-GB"/>
        </w:rPr>
        <w:t>commences;</w:t>
      </w:r>
      <w:proofErr w:type="gramEnd"/>
    </w:p>
    <w:p w14:paraId="1CA8EE29" w14:textId="77777777" w:rsidR="00F92F1E" w:rsidRPr="00F92F1E" w:rsidRDefault="00F92F1E" w:rsidP="00F92F1E">
      <w:pPr>
        <w:numPr>
          <w:ilvl w:val="0"/>
          <w:numId w:val="13"/>
        </w:numPr>
        <w:tabs>
          <w:tab w:val="left" w:pos="426"/>
        </w:tabs>
        <w:spacing w:after="0" w:line="240" w:lineRule="auto"/>
        <w:ind w:left="426" w:hanging="283"/>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Ducting – this is beyond the canopy/extract plenum and is typically constructed of </w:t>
      </w:r>
      <w:proofErr w:type="spellStart"/>
      <w:r w:rsidRPr="00F92F1E">
        <w:rPr>
          <w:rFonts w:ascii="Arial" w:eastAsia="Times New Roman" w:hAnsi="Arial" w:cs="Arial"/>
          <w:color w:val="000000" w:themeColor="text1"/>
          <w:sz w:val="24"/>
          <w:szCs w:val="24"/>
          <w:lang w:val="en" w:eastAsia="en-GB"/>
        </w:rPr>
        <w:t>galvanised</w:t>
      </w:r>
      <w:proofErr w:type="spellEnd"/>
      <w:r w:rsidRPr="00F92F1E">
        <w:rPr>
          <w:rFonts w:ascii="Arial" w:eastAsia="Times New Roman" w:hAnsi="Arial" w:cs="Arial"/>
          <w:color w:val="000000" w:themeColor="text1"/>
          <w:sz w:val="24"/>
          <w:szCs w:val="24"/>
          <w:lang w:val="en" w:eastAsia="en-GB"/>
        </w:rPr>
        <w:t xml:space="preserve"> steel or </w:t>
      </w:r>
      <w:proofErr w:type="gramStart"/>
      <w:r w:rsidRPr="00F92F1E">
        <w:rPr>
          <w:rFonts w:ascii="Arial" w:eastAsia="Times New Roman" w:hAnsi="Arial" w:cs="Arial"/>
          <w:color w:val="000000" w:themeColor="text1"/>
          <w:sz w:val="24"/>
          <w:szCs w:val="24"/>
          <w:lang w:val="en" w:eastAsia="en-GB"/>
        </w:rPr>
        <w:t>heavy duty</w:t>
      </w:r>
      <w:proofErr w:type="gramEnd"/>
      <w:r w:rsidRPr="00F92F1E">
        <w:rPr>
          <w:rFonts w:ascii="Arial" w:eastAsia="Times New Roman" w:hAnsi="Arial" w:cs="Arial"/>
          <w:color w:val="000000" w:themeColor="text1"/>
          <w:sz w:val="24"/>
          <w:szCs w:val="24"/>
          <w:lang w:val="en" w:eastAsia="en-GB"/>
        </w:rPr>
        <w:t xml:space="preserve"> fire rated steel, which may have additional fire protection. Flexible ductwork is not recommended for kitchen extract systems due to difficulty of </w:t>
      </w:r>
      <w:proofErr w:type="gramStart"/>
      <w:r w:rsidRPr="00F92F1E">
        <w:rPr>
          <w:rFonts w:ascii="Arial" w:eastAsia="Times New Roman" w:hAnsi="Arial" w:cs="Arial"/>
          <w:color w:val="000000" w:themeColor="text1"/>
          <w:sz w:val="24"/>
          <w:szCs w:val="24"/>
          <w:lang w:val="en" w:eastAsia="en-GB"/>
        </w:rPr>
        <w:t>cleaning;</w:t>
      </w:r>
      <w:proofErr w:type="gramEnd"/>
    </w:p>
    <w:p w14:paraId="17C55FFB" w14:textId="77777777" w:rsidR="00F92F1E" w:rsidRPr="00F92F1E" w:rsidRDefault="00F92F1E" w:rsidP="00F92F1E">
      <w:pPr>
        <w:numPr>
          <w:ilvl w:val="0"/>
          <w:numId w:val="13"/>
        </w:numPr>
        <w:tabs>
          <w:tab w:val="left" w:pos="426"/>
        </w:tabs>
        <w:spacing w:after="0" w:line="240" w:lineRule="auto"/>
        <w:ind w:left="426" w:hanging="283"/>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Fire dampers - these must not be located within a kitchen extract system but are occasionally found in very old or non-compliant </w:t>
      </w:r>
      <w:proofErr w:type="gramStart"/>
      <w:r w:rsidRPr="00F92F1E">
        <w:rPr>
          <w:rFonts w:ascii="Arial" w:eastAsia="Times New Roman" w:hAnsi="Arial" w:cs="Arial"/>
          <w:color w:val="000000" w:themeColor="text1"/>
          <w:sz w:val="24"/>
          <w:szCs w:val="24"/>
          <w:lang w:val="en" w:eastAsia="en-GB"/>
        </w:rPr>
        <w:t>systems;</w:t>
      </w:r>
      <w:proofErr w:type="gramEnd"/>
    </w:p>
    <w:p w14:paraId="09FFE5CC" w14:textId="77777777" w:rsidR="00F92F1E" w:rsidRPr="00F92F1E" w:rsidRDefault="00F92F1E" w:rsidP="00F92F1E">
      <w:pPr>
        <w:numPr>
          <w:ilvl w:val="0"/>
          <w:numId w:val="13"/>
        </w:numPr>
        <w:tabs>
          <w:tab w:val="left" w:pos="426"/>
        </w:tabs>
        <w:spacing w:after="0" w:line="240" w:lineRule="auto"/>
        <w:ind w:left="426" w:hanging="283"/>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Sound attenuators – internal sound deadening material to allow the fan noise to be </w:t>
      </w:r>
      <w:proofErr w:type="gramStart"/>
      <w:r w:rsidRPr="00F92F1E">
        <w:rPr>
          <w:rFonts w:ascii="Arial" w:eastAsia="Times New Roman" w:hAnsi="Arial" w:cs="Arial"/>
          <w:color w:val="000000" w:themeColor="text1"/>
          <w:sz w:val="24"/>
          <w:szCs w:val="24"/>
          <w:lang w:val="en" w:eastAsia="en-GB"/>
        </w:rPr>
        <w:t>absorbed;</w:t>
      </w:r>
      <w:proofErr w:type="gramEnd"/>
    </w:p>
    <w:p w14:paraId="391F6CC5" w14:textId="77777777" w:rsidR="00F92F1E" w:rsidRPr="00F92F1E" w:rsidRDefault="00F92F1E" w:rsidP="00F92F1E">
      <w:pPr>
        <w:numPr>
          <w:ilvl w:val="0"/>
          <w:numId w:val="13"/>
        </w:numPr>
        <w:tabs>
          <w:tab w:val="left" w:pos="426"/>
        </w:tabs>
        <w:spacing w:after="0" w:line="240" w:lineRule="auto"/>
        <w:ind w:left="426" w:hanging="283"/>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Turning vanes – these may be found at changes of direction within the </w:t>
      </w:r>
      <w:proofErr w:type="gramStart"/>
      <w:r w:rsidRPr="00F92F1E">
        <w:rPr>
          <w:rFonts w:ascii="Arial" w:eastAsia="Times New Roman" w:hAnsi="Arial" w:cs="Arial"/>
          <w:color w:val="000000" w:themeColor="text1"/>
          <w:sz w:val="24"/>
          <w:szCs w:val="24"/>
          <w:lang w:val="en" w:eastAsia="en-GB"/>
        </w:rPr>
        <w:t>ducting;</w:t>
      </w:r>
      <w:proofErr w:type="gramEnd"/>
    </w:p>
    <w:p w14:paraId="059C9B1C" w14:textId="5F374B70" w:rsidR="00F92F1E" w:rsidRPr="00F92F1E" w:rsidRDefault="00F92F1E" w:rsidP="00F92F1E">
      <w:pPr>
        <w:numPr>
          <w:ilvl w:val="0"/>
          <w:numId w:val="13"/>
        </w:numPr>
        <w:tabs>
          <w:tab w:val="left" w:pos="426"/>
        </w:tabs>
        <w:spacing w:after="0" w:line="240" w:lineRule="auto"/>
        <w:ind w:left="426" w:hanging="283"/>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Extract fan – to create extraction from the canopy an extract fan would be connected to the </w:t>
      </w:r>
      <w:r w:rsidRPr="00F92F1E">
        <w:rPr>
          <w:rFonts w:ascii="Arial" w:eastAsia="Times New Roman" w:hAnsi="Arial" w:cs="Arial"/>
          <w:color w:val="000000" w:themeColor="text1"/>
          <w:sz w:val="24"/>
          <w:szCs w:val="24"/>
          <w:lang w:val="en" w:eastAsia="en-GB"/>
        </w:rPr>
        <w:t>ductwork.</w:t>
      </w:r>
    </w:p>
    <w:p w14:paraId="63F736F8" w14:textId="77777777" w:rsidR="00F92F1E" w:rsidRPr="00F92F1E" w:rsidRDefault="00F92F1E" w:rsidP="00F92F1E">
      <w:pPr>
        <w:numPr>
          <w:ilvl w:val="0"/>
          <w:numId w:val="13"/>
        </w:numPr>
        <w:tabs>
          <w:tab w:val="left" w:pos="426"/>
        </w:tabs>
        <w:spacing w:after="0" w:line="240" w:lineRule="auto"/>
        <w:ind w:left="426" w:hanging="283"/>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Discharge duct – on the exhaust side of the fan a discharge duct would direct extract air out of the building via an outlet.</w:t>
      </w:r>
    </w:p>
    <w:p w14:paraId="1E04B1F8"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352C43D2"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The primary purpose of grease filters is to reduce the amount of grease passing through into the extraction ductwork.  It is essential that all grease filters be in place whenever cooking appliances are operated.  Mesh filters have no flame protection and should not be used where there is a high risk of fire </w:t>
      </w:r>
      <w:proofErr w:type="gramStart"/>
      <w:r w:rsidRPr="00F92F1E">
        <w:rPr>
          <w:rFonts w:ascii="Arial" w:eastAsia="Times New Roman" w:hAnsi="Arial" w:cs="Arial"/>
          <w:color w:val="000000" w:themeColor="text1"/>
          <w:sz w:val="24"/>
          <w:szCs w:val="24"/>
          <w:lang w:val="en" w:eastAsia="en-GB"/>
        </w:rPr>
        <w:t>i.e.</w:t>
      </w:r>
      <w:proofErr w:type="gramEnd"/>
      <w:r w:rsidRPr="00F92F1E">
        <w:rPr>
          <w:rFonts w:ascii="Arial" w:eastAsia="Times New Roman" w:hAnsi="Arial" w:cs="Arial"/>
          <w:color w:val="000000" w:themeColor="text1"/>
          <w:sz w:val="24"/>
          <w:szCs w:val="24"/>
          <w:lang w:val="en" w:eastAsia="en-GB"/>
        </w:rPr>
        <w:t xml:space="preserve"> open flame grilling, flame cooking and sudden emissions of hot vapor.  Baffle filters comprise </w:t>
      </w:r>
      <w:proofErr w:type="gramStart"/>
      <w:r w:rsidRPr="00F92F1E">
        <w:rPr>
          <w:rFonts w:ascii="Arial" w:eastAsia="Times New Roman" w:hAnsi="Arial" w:cs="Arial"/>
          <w:color w:val="000000" w:themeColor="text1"/>
          <w:sz w:val="24"/>
          <w:szCs w:val="24"/>
          <w:lang w:val="en" w:eastAsia="en-GB"/>
        </w:rPr>
        <w:t>a number of</w:t>
      </w:r>
      <w:proofErr w:type="gramEnd"/>
      <w:r w:rsidRPr="00F92F1E">
        <w:rPr>
          <w:rFonts w:ascii="Arial" w:eastAsia="Times New Roman" w:hAnsi="Arial" w:cs="Arial"/>
          <w:color w:val="000000" w:themeColor="text1"/>
          <w:sz w:val="24"/>
          <w:szCs w:val="24"/>
          <w:lang w:val="en" w:eastAsia="en-GB"/>
        </w:rPr>
        <w:t xml:space="preserve"> interlocking vanes, which form a “two-pass” grease removal device and a barrier in the event of a flash fire.</w:t>
      </w:r>
    </w:p>
    <w:p w14:paraId="7E32A920"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 </w:t>
      </w:r>
    </w:p>
    <w:p w14:paraId="788F28A8"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All the internal surfaces of the kitchen extract systems are affected by grease and oil deposits. No filter is 100% </w:t>
      </w:r>
      <w:proofErr w:type="gramStart"/>
      <w:r w:rsidRPr="00F92F1E">
        <w:rPr>
          <w:rFonts w:ascii="Arial" w:eastAsia="Times New Roman" w:hAnsi="Arial" w:cs="Arial"/>
          <w:color w:val="000000" w:themeColor="text1"/>
          <w:sz w:val="24"/>
          <w:szCs w:val="24"/>
          <w:lang w:val="en" w:eastAsia="en-GB"/>
        </w:rPr>
        <w:t>effective,</w:t>
      </w:r>
      <w:proofErr w:type="gramEnd"/>
      <w:r w:rsidRPr="00F92F1E">
        <w:rPr>
          <w:rFonts w:ascii="Arial" w:eastAsia="Times New Roman" w:hAnsi="Arial" w:cs="Arial"/>
          <w:color w:val="000000" w:themeColor="text1"/>
          <w:sz w:val="24"/>
          <w:szCs w:val="24"/>
          <w:lang w:val="en" w:eastAsia="en-GB"/>
        </w:rPr>
        <w:t xml:space="preserve"> therefore the efficiency of the filtration will vary the rate of oil and grease deposits.  These deposits can, in certain circumstances, ignite with the application of flame, heat, sparks, embers etc.  This will then cause rapid fire </w:t>
      </w:r>
      <w:proofErr w:type="gramStart"/>
      <w:r w:rsidRPr="00F92F1E">
        <w:rPr>
          <w:rFonts w:ascii="Arial" w:eastAsia="Times New Roman" w:hAnsi="Arial" w:cs="Arial"/>
          <w:color w:val="000000" w:themeColor="text1"/>
          <w:sz w:val="24"/>
          <w:szCs w:val="24"/>
          <w:lang w:val="en" w:eastAsia="en-GB"/>
        </w:rPr>
        <w:t>spread</w:t>
      </w:r>
      <w:proofErr w:type="gramEnd"/>
      <w:r w:rsidRPr="00F92F1E">
        <w:rPr>
          <w:rFonts w:ascii="Arial" w:eastAsia="Times New Roman" w:hAnsi="Arial" w:cs="Arial"/>
          <w:color w:val="000000" w:themeColor="text1"/>
          <w:sz w:val="24"/>
          <w:szCs w:val="24"/>
          <w:lang w:val="en" w:eastAsia="en-GB"/>
        </w:rPr>
        <w:t xml:space="preserve"> through the duct, and can cause ignition of surrounding materials at various points along the ductwork path, transforming fire into the fabric/voids of the building.</w:t>
      </w:r>
    </w:p>
    <w:p w14:paraId="2717B4F0"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5385110F"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Kitchen extract ductwork travelling outside the kitchen compartment is either constructed from fire rated materials, or a protective material is applied to suitably constructed and supported conventional ductwork.  Alternatively, the ductwork runs from the kitchen directly to the outside of the building through a protected shaft containing no other services and with no fire dampers fitted.  Ductwork within the kitchen compartment does not have to be fire rated. Maintaining the fire integrity of fire- rated ductwork should be a consideration when installation takes place.  Relevant guidance documents provide information on </w:t>
      </w:r>
      <w:proofErr w:type="gramStart"/>
      <w:r w:rsidRPr="00F92F1E">
        <w:rPr>
          <w:rFonts w:ascii="Arial" w:eastAsia="Times New Roman" w:hAnsi="Arial" w:cs="Arial"/>
          <w:color w:val="000000" w:themeColor="text1"/>
          <w:sz w:val="24"/>
          <w:szCs w:val="24"/>
          <w:lang w:val="en" w:eastAsia="en-GB"/>
        </w:rPr>
        <w:t>this</w:t>
      </w:r>
      <w:proofErr w:type="gramEnd"/>
      <w:r w:rsidRPr="00F92F1E">
        <w:rPr>
          <w:rFonts w:ascii="Arial" w:eastAsia="Times New Roman" w:hAnsi="Arial" w:cs="Arial"/>
          <w:color w:val="000000" w:themeColor="text1"/>
          <w:sz w:val="24"/>
          <w:szCs w:val="24"/>
          <w:lang w:val="en" w:eastAsia="en-GB"/>
        </w:rPr>
        <w:t xml:space="preserve"> and those documents should be regularly accessed for updated data.</w:t>
      </w:r>
    </w:p>
    <w:p w14:paraId="32EC5D4B"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30C3CEDA"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bookmarkStart w:id="5" w:name="Ductwork"/>
      <w:bookmarkEnd w:id="5"/>
      <w:r w:rsidRPr="00F92F1E">
        <w:rPr>
          <w:rFonts w:ascii="Arial" w:eastAsia="Times New Roman" w:hAnsi="Arial" w:cs="Arial"/>
          <w:color w:val="000000" w:themeColor="text1"/>
          <w:sz w:val="24"/>
          <w:szCs w:val="24"/>
          <w:lang w:val="en" w:eastAsia="en-GB"/>
        </w:rPr>
        <w:t xml:space="preserve">In accordance with British Standard (BS) 476 Part 24, ductwork is tested to ensure that a fire outside the duct does not ignite flammable grease inside or, if the grease itself is already alight, that there is no spread of fire by radiant heat to any adjacent combustible material.  The ductwork must also be rated for stability, </w:t>
      </w:r>
      <w:proofErr w:type="gramStart"/>
      <w:r w:rsidRPr="00F92F1E">
        <w:rPr>
          <w:rFonts w:ascii="Arial" w:eastAsia="Times New Roman" w:hAnsi="Arial" w:cs="Arial"/>
          <w:color w:val="000000" w:themeColor="text1"/>
          <w:sz w:val="24"/>
          <w:szCs w:val="24"/>
          <w:lang w:val="en" w:eastAsia="en-GB"/>
        </w:rPr>
        <w:t>integrity</w:t>
      </w:r>
      <w:proofErr w:type="gramEnd"/>
      <w:r w:rsidRPr="00F92F1E">
        <w:rPr>
          <w:rFonts w:ascii="Arial" w:eastAsia="Times New Roman" w:hAnsi="Arial" w:cs="Arial"/>
          <w:color w:val="000000" w:themeColor="text1"/>
          <w:sz w:val="24"/>
          <w:szCs w:val="24"/>
          <w:lang w:val="en" w:eastAsia="en-GB"/>
        </w:rPr>
        <w:t xml:space="preserve"> and insulation for the same period of time as the compartment through which it passes.  The ductwork supporting hangers should be capable of supporting the ductwork for not less than the </w:t>
      </w:r>
      <w:proofErr w:type="gramStart"/>
      <w:r w:rsidRPr="00F92F1E">
        <w:rPr>
          <w:rFonts w:ascii="Arial" w:eastAsia="Times New Roman" w:hAnsi="Arial" w:cs="Arial"/>
          <w:color w:val="000000" w:themeColor="text1"/>
          <w:sz w:val="24"/>
          <w:szCs w:val="24"/>
          <w:lang w:val="en" w:eastAsia="en-GB"/>
        </w:rPr>
        <w:t>period of time</w:t>
      </w:r>
      <w:proofErr w:type="gramEnd"/>
      <w:r w:rsidRPr="00F92F1E">
        <w:rPr>
          <w:rFonts w:ascii="Arial" w:eastAsia="Times New Roman" w:hAnsi="Arial" w:cs="Arial"/>
          <w:color w:val="000000" w:themeColor="text1"/>
          <w:sz w:val="24"/>
          <w:szCs w:val="24"/>
          <w:lang w:val="en" w:eastAsia="en-GB"/>
        </w:rPr>
        <w:t xml:space="preserve"> as the compartment through which it passes. As part of the fire safety integrity of the premises, the building should be checked to ascertain if kitchen extract ducting systems pass through areas within the building, determining whether a ducting fire would affect the means of escape, and the ability of relevant persons to escape both safely and effectively.</w:t>
      </w:r>
    </w:p>
    <w:p w14:paraId="62E35B68"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4736994B"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Access is essential to all interior surfaces of the kitchen extract system and canopy/extract plenum for cleaning and inspection purposes.  Access panels should be of sufficient number, </w:t>
      </w:r>
      <w:proofErr w:type="gramStart"/>
      <w:r w:rsidRPr="00F92F1E">
        <w:rPr>
          <w:rFonts w:ascii="Arial" w:eastAsia="Times New Roman" w:hAnsi="Arial" w:cs="Arial"/>
          <w:color w:val="000000" w:themeColor="text1"/>
          <w:sz w:val="24"/>
          <w:szCs w:val="24"/>
          <w:lang w:val="en" w:eastAsia="en-GB"/>
        </w:rPr>
        <w:t>quality</w:t>
      </w:r>
      <w:proofErr w:type="gramEnd"/>
      <w:r w:rsidRPr="00F92F1E">
        <w:rPr>
          <w:rFonts w:ascii="Arial" w:eastAsia="Times New Roman" w:hAnsi="Arial" w:cs="Arial"/>
          <w:color w:val="000000" w:themeColor="text1"/>
          <w:sz w:val="24"/>
          <w:szCs w:val="24"/>
          <w:lang w:val="en" w:eastAsia="en-GB"/>
        </w:rPr>
        <w:t xml:space="preserve"> and size to enable unrestricted access for regular cleaning and inspection of the interior surfaces and in-line components.  All panels shall be in accordance with the requirements of the Building and Engineering Services Association DW/172 Specification for Kitchen Ventilation Systems, and should be installed at 3m </w:t>
      </w:r>
      <w:proofErr w:type="spellStart"/>
      <w:r w:rsidRPr="00F92F1E">
        <w:rPr>
          <w:rFonts w:ascii="Arial" w:eastAsia="Times New Roman" w:hAnsi="Arial" w:cs="Arial"/>
          <w:color w:val="000000" w:themeColor="text1"/>
          <w:sz w:val="24"/>
          <w:szCs w:val="24"/>
          <w:lang w:val="en" w:eastAsia="en-GB"/>
        </w:rPr>
        <w:t>centres</w:t>
      </w:r>
      <w:proofErr w:type="spellEnd"/>
      <w:r w:rsidRPr="00F92F1E">
        <w:rPr>
          <w:rFonts w:ascii="Arial" w:eastAsia="Times New Roman" w:hAnsi="Arial" w:cs="Arial"/>
          <w:color w:val="000000" w:themeColor="text1"/>
          <w:sz w:val="24"/>
          <w:szCs w:val="24"/>
          <w:lang w:val="en" w:eastAsia="en-GB"/>
        </w:rPr>
        <w:t>, as close as practicably possible to either side of in-line components to be cleaned, and any 90° changes of direction.</w:t>
      </w:r>
    </w:p>
    <w:p w14:paraId="14A3BD66"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68A59BCA"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bookmarkStart w:id="6" w:name="AccessPanels"/>
      <w:bookmarkEnd w:id="6"/>
      <w:r w:rsidRPr="00F92F1E">
        <w:rPr>
          <w:rFonts w:ascii="Arial" w:eastAsia="Times New Roman" w:hAnsi="Arial" w:cs="Arial"/>
          <w:color w:val="000000" w:themeColor="text1"/>
          <w:sz w:val="24"/>
          <w:szCs w:val="24"/>
          <w:lang w:val="en" w:eastAsia="en-GB"/>
        </w:rPr>
        <w:t>Access panels should incorporate quick release catches, sealing gaskets and thermal, acoustic and fire rated insulation properties equal to that of the duct to which they are fitted.  Access holes should not be cut into the ductwork, sheet metal should not be fitted to the ductwork with screws and gaffer tape/duct tape.</w:t>
      </w:r>
    </w:p>
    <w:p w14:paraId="345674E4"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73CF26DE" w14:textId="0AD55614" w:rsid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Access panels should ideally be fitted at the side of the ductwork, a minimum of 10mm above the base to </w:t>
      </w:r>
      <w:proofErr w:type="spellStart"/>
      <w:r w:rsidRPr="00F92F1E">
        <w:rPr>
          <w:rFonts w:ascii="Arial" w:eastAsia="Times New Roman" w:hAnsi="Arial" w:cs="Arial"/>
          <w:color w:val="000000" w:themeColor="text1"/>
          <w:sz w:val="24"/>
          <w:szCs w:val="24"/>
          <w:lang w:val="en" w:eastAsia="en-GB"/>
        </w:rPr>
        <w:t>minimise</w:t>
      </w:r>
      <w:proofErr w:type="spellEnd"/>
      <w:r w:rsidRPr="00F92F1E">
        <w:rPr>
          <w:rFonts w:ascii="Arial" w:eastAsia="Times New Roman" w:hAnsi="Arial" w:cs="Arial"/>
          <w:color w:val="000000" w:themeColor="text1"/>
          <w:sz w:val="24"/>
          <w:szCs w:val="24"/>
          <w:lang w:val="en" w:eastAsia="en-GB"/>
        </w:rPr>
        <w:t xml:space="preserve"> the risk of grease leakage.</w:t>
      </w:r>
    </w:p>
    <w:p w14:paraId="3553E6ED"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6D12FCE5" w14:textId="77777777" w:rsidR="00F92F1E" w:rsidRPr="00F92F1E" w:rsidRDefault="00F92F1E" w:rsidP="00F92F1E">
      <w:pPr>
        <w:pStyle w:val="Heading1"/>
        <w:tabs>
          <w:tab w:val="left" w:pos="567"/>
        </w:tabs>
      </w:pPr>
      <w:bookmarkStart w:id="7" w:name="_Toc120299648"/>
      <w:r w:rsidRPr="00F92F1E">
        <w:t>3</w:t>
      </w:r>
      <w:r w:rsidRPr="00F92F1E">
        <w:tab/>
        <w:t>CLEANING</w:t>
      </w:r>
      <w:bookmarkEnd w:id="7"/>
    </w:p>
    <w:p w14:paraId="0C7CCCEA" w14:textId="77777777" w:rsidR="00F92F1E" w:rsidRPr="00F92F1E" w:rsidRDefault="00F92F1E" w:rsidP="00F92F1E">
      <w:pPr>
        <w:spacing w:after="0" w:line="240" w:lineRule="auto"/>
        <w:rPr>
          <w:rFonts w:ascii="Arial" w:hAnsi="Arial" w:cs="Arial"/>
          <w:color w:val="000000" w:themeColor="text1"/>
          <w:sz w:val="24"/>
          <w:szCs w:val="24"/>
        </w:rPr>
      </w:pPr>
    </w:p>
    <w:p w14:paraId="2ACDD9E4"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 xml:space="preserve">There are various cleaning methods that cleaning contractors use, and any cleaning method must be demonstrably capable of meeting the standard for post-clean verification as detailed in the Building and Engineering Services Association Guide TR/19 Internal Cleanliness of Ventilation Systems.  It is the responsibility of the premises owner/occupier to facilitate access to any </w:t>
      </w:r>
      <w:proofErr w:type="gramStart"/>
      <w:r w:rsidRPr="00F92F1E">
        <w:rPr>
          <w:rFonts w:ascii="Arial" w:hAnsi="Arial" w:cs="Arial"/>
          <w:color w:val="000000" w:themeColor="text1"/>
          <w:sz w:val="24"/>
          <w:szCs w:val="24"/>
        </w:rPr>
        <w:t>third party</w:t>
      </w:r>
      <w:proofErr w:type="gramEnd"/>
      <w:r w:rsidRPr="00F92F1E">
        <w:rPr>
          <w:rFonts w:ascii="Arial" w:hAnsi="Arial" w:cs="Arial"/>
          <w:color w:val="000000" w:themeColor="text1"/>
          <w:sz w:val="24"/>
          <w:szCs w:val="24"/>
        </w:rPr>
        <w:t xml:space="preserve"> buildings if any part of the kitchen extract ductwork is located in third party property.</w:t>
      </w:r>
    </w:p>
    <w:p w14:paraId="362CD21A" w14:textId="77777777" w:rsidR="00F92F1E" w:rsidRPr="00F92F1E" w:rsidRDefault="00F92F1E" w:rsidP="00F92F1E">
      <w:pPr>
        <w:spacing w:after="0" w:line="240" w:lineRule="auto"/>
        <w:rPr>
          <w:rFonts w:ascii="Arial" w:hAnsi="Arial" w:cs="Arial"/>
          <w:color w:val="000000" w:themeColor="text1"/>
          <w:sz w:val="24"/>
          <w:szCs w:val="24"/>
        </w:rPr>
      </w:pPr>
    </w:p>
    <w:p w14:paraId="7084F3DA"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The frequency of cleaning should be such that grease deposit limits are not exceeded.  These limits are measured in microns by using a particular testing method (</w:t>
      </w:r>
      <w:proofErr w:type="gramStart"/>
      <w:r w:rsidRPr="00F92F1E">
        <w:rPr>
          <w:rFonts w:ascii="Arial" w:hAnsi="Arial" w:cs="Arial"/>
          <w:color w:val="000000" w:themeColor="text1"/>
          <w:sz w:val="24"/>
          <w:szCs w:val="24"/>
        </w:rPr>
        <w:t>e.g.</w:t>
      </w:r>
      <w:proofErr w:type="gramEnd"/>
      <w:r w:rsidRPr="00F92F1E">
        <w:rPr>
          <w:rFonts w:ascii="Arial" w:hAnsi="Arial" w:cs="Arial"/>
          <w:color w:val="000000" w:themeColor="text1"/>
          <w:sz w:val="24"/>
          <w:szCs w:val="24"/>
        </w:rPr>
        <w:t xml:space="preserve"> Deposit Thickness Test, Deposit Thickness Testing (DTT) is an approved technique that is used to accurately assess the level of deposit build up within ventilation ductwork.  Preferred Vacuum Test, Preferred Vacuum Test – this test utilises an air pump to suck dust from the surface of the ductwork guided by a plastic template.  The collected dust is deposited on a sample media which is then sent to an independent laboratory for analysis which can take about 7 days to produce the results and the Wet Film Thickness Test).</w:t>
      </w:r>
    </w:p>
    <w:p w14:paraId="378BEC2E" w14:textId="77777777" w:rsidR="00F92F1E" w:rsidRPr="00F92F1E" w:rsidRDefault="00F92F1E" w:rsidP="00F92F1E">
      <w:pPr>
        <w:spacing w:after="0" w:line="240" w:lineRule="auto"/>
        <w:rPr>
          <w:rFonts w:ascii="Arial" w:hAnsi="Arial" w:cs="Arial"/>
          <w:color w:val="000000" w:themeColor="text1"/>
          <w:sz w:val="24"/>
          <w:szCs w:val="24"/>
        </w:rPr>
      </w:pPr>
    </w:p>
    <w:p w14:paraId="0DF06F77" w14:textId="77777777" w:rsidR="00F92F1E" w:rsidRPr="00F92F1E" w:rsidRDefault="00F92F1E" w:rsidP="00F92F1E">
      <w:pPr>
        <w:spacing w:after="0" w:line="240" w:lineRule="auto"/>
        <w:rPr>
          <w:rFonts w:ascii="Arial" w:hAnsi="Arial" w:cs="Arial"/>
          <w:color w:val="000000" w:themeColor="text1"/>
          <w:sz w:val="24"/>
          <w:szCs w:val="24"/>
        </w:rPr>
      </w:pPr>
      <w:bookmarkStart w:id="8" w:name="FrequencyOfMaintenance"/>
      <w:bookmarkEnd w:id="8"/>
      <w:r w:rsidRPr="00F92F1E">
        <w:rPr>
          <w:rFonts w:ascii="Arial" w:hAnsi="Arial" w:cs="Arial"/>
          <w:color w:val="000000" w:themeColor="text1"/>
          <w:sz w:val="24"/>
          <w:szCs w:val="24"/>
        </w:rPr>
        <w:t>Using the Wet Film Thickness Test a measurement of 200 microns as a mean across the extraction system would result in a recommended requirement of a complete clean.  Any single measurement above 500 microns would result in a recommended urgent localised clean.  (These “hot spots” should be cleaned even where the whole system does not require complete cleaning).  Following cleaning of the extraction system, all post clean wet film thickness tests shall not exceed 50 microns and shall be representative of the system.</w:t>
      </w:r>
    </w:p>
    <w:p w14:paraId="5BF0D809" w14:textId="77777777" w:rsidR="00F92F1E" w:rsidRPr="00F92F1E" w:rsidRDefault="00F92F1E" w:rsidP="00F92F1E">
      <w:pPr>
        <w:spacing w:after="0" w:line="240" w:lineRule="auto"/>
        <w:rPr>
          <w:rFonts w:ascii="Arial" w:hAnsi="Arial" w:cs="Arial"/>
          <w:color w:val="000000" w:themeColor="text1"/>
          <w:sz w:val="24"/>
          <w:szCs w:val="24"/>
        </w:rPr>
      </w:pPr>
    </w:p>
    <w:p w14:paraId="419CA6C3"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Many extraction systems will need a higher frequency of cleaning based on hours in use and the type of usage.  For example, kitchens that produce high levels of fried or chargrilled food will produce much higher grease levels than those using less intensive cooking methods such as baking and boiling.  The table below will assist in assessing the required frequency of cleaning.</w:t>
      </w:r>
    </w:p>
    <w:p w14:paraId="31B66A59" w14:textId="77777777" w:rsidR="00F92F1E" w:rsidRPr="00F92F1E" w:rsidRDefault="00F92F1E" w:rsidP="00F92F1E">
      <w:pPr>
        <w:spacing w:after="0" w:line="240" w:lineRule="auto"/>
        <w:rPr>
          <w:rFonts w:ascii="Arial" w:hAnsi="Arial" w:cs="Arial"/>
          <w:color w:val="000000" w:themeColor="text1"/>
          <w:sz w:val="24"/>
          <w:szCs w:val="24"/>
        </w:rPr>
      </w:pPr>
    </w:p>
    <w:tbl>
      <w:tblPr>
        <w:tblpPr w:leftFromText="180" w:rightFromText="180" w:vertAnchor="text" w:horzAnchor="margin" w:tblpY="486"/>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4961"/>
        <w:gridCol w:w="992"/>
        <w:gridCol w:w="851"/>
        <w:gridCol w:w="850"/>
        <w:gridCol w:w="851"/>
      </w:tblGrid>
      <w:tr w:rsidR="00F92F1E" w:rsidRPr="00F92F1E" w14:paraId="2AEBC55B" w14:textId="77777777" w:rsidTr="008B729B">
        <w:trPr>
          <w:trHeight w:val="344"/>
        </w:trPr>
        <w:tc>
          <w:tcPr>
            <w:tcW w:w="1276" w:type="dxa"/>
            <w:vMerge w:val="restart"/>
            <w:shd w:val="clear" w:color="auto" w:fill="E5DFEC" w:themeFill="accent4" w:themeFillTint="33"/>
            <w:vAlign w:val="center"/>
          </w:tcPr>
          <w:p w14:paraId="3E1A9433" w14:textId="77777777" w:rsidR="00F92F1E" w:rsidRPr="00F92F1E" w:rsidRDefault="00F92F1E" w:rsidP="00F92F1E">
            <w:pPr>
              <w:widowControl w:val="0"/>
              <w:autoSpaceDE w:val="0"/>
              <w:autoSpaceDN w:val="0"/>
              <w:spacing w:after="0" w:line="240" w:lineRule="auto"/>
              <w:jc w:val="center"/>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95"/>
                <w:sz w:val="24"/>
                <w:szCs w:val="24"/>
                <w:lang w:eastAsia="en-GB" w:bidi="en-GB"/>
              </w:rPr>
              <w:t xml:space="preserve">Perceived </w:t>
            </w:r>
            <w:r w:rsidRPr="00F92F1E">
              <w:rPr>
                <w:rFonts w:ascii="Arial" w:eastAsia="Arial" w:hAnsi="Arial" w:cs="Arial"/>
                <w:color w:val="000000" w:themeColor="text1"/>
                <w:sz w:val="24"/>
                <w:szCs w:val="24"/>
                <w:lang w:eastAsia="en-GB" w:bidi="en-GB"/>
              </w:rPr>
              <w:t xml:space="preserve">level of grease </w:t>
            </w:r>
            <w:r w:rsidRPr="00F92F1E">
              <w:rPr>
                <w:rFonts w:ascii="Arial" w:eastAsia="Arial" w:hAnsi="Arial" w:cs="Arial"/>
                <w:color w:val="000000" w:themeColor="text1"/>
                <w:w w:val="95"/>
                <w:sz w:val="24"/>
                <w:szCs w:val="24"/>
                <w:lang w:eastAsia="en-GB" w:bidi="en-GB"/>
              </w:rPr>
              <w:t>production</w:t>
            </w:r>
          </w:p>
        </w:tc>
        <w:tc>
          <w:tcPr>
            <w:tcW w:w="4961" w:type="dxa"/>
            <w:vMerge w:val="restart"/>
            <w:shd w:val="clear" w:color="auto" w:fill="E5DFEC" w:themeFill="accent4" w:themeFillTint="33"/>
            <w:vAlign w:val="center"/>
          </w:tcPr>
          <w:p w14:paraId="1CB44764" w14:textId="77777777" w:rsidR="00F92F1E" w:rsidRPr="00F92F1E" w:rsidRDefault="00F92F1E" w:rsidP="00F92F1E">
            <w:pPr>
              <w:widowControl w:val="0"/>
              <w:autoSpaceDE w:val="0"/>
              <w:autoSpaceDN w:val="0"/>
              <w:spacing w:after="0" w:line="240" w:lineRule="auto"/>
              <w:ind w:left="1"/>
              <w:jc w:val="center"/>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Typical example</w:t>
            </w:r>
          </w:p>
        </w:tc>
        <w:tc>
          <w:tcPr>
            <w:tcW w:w="3544" w:type="dxa"/>
            <w:gridSpan w:val="4"/>
            <w:shd w:val="clear" w:color="auto" w:fill="E5DFEC" w:themeFill="accent4" w:themeFillTint="33"/>
            <w:vAlign w:val="center"/>
          </w:tcPr>
          <w:p w14:paraId="4B237928" w14:textId="77777777" w:rsidR="00F92F1E" w:rsidRPr="00F92F1E" w:rsidRDefault="00F92F1E" w:rsidP="00F92F1E">
            <w:pPr>
              <w:widowControl w:val="0"/>
              <w:autoSpaceDE w:val="0"/>
              <w:autoSpaceDN w:val="0"/>
              <w:spacing w:after="0" w:line="240" w:lineRule="auto"/>
              <w:ind w:left="-3"/>
              <w:jc w:val="center"/>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 xml:space="preserve">Daily usage </w:t>
            </w:r>
            <w:proofErr w:type="gramStart"/>
            <w:r w:rsidRPr="00F92F1E">
              <w:rPr>
                <w:rFonts w:ascii="Arial" w:eastAsia="Arial" w:hAnsi="Arial" w:cs="Arial"/>
                <w:color w:val="000000" w:themeColor="text1"/>
                <w:sz w:val="24"/>
                <w:szCs w:val="24"/>
                <w:lang w:eastAsia="en-GB" w:bidi="en-GB"/>
              </w:rPr>
              <w:t>Cleaning</w:t>
            </w:r>
            <w:proofErr w:type="gramEnd"/>
            <w:r w:rsidRPr="00F92F1E">
              <w:rPr>
                <w:rFonts w:ascii="Arial" w:eastAsia="Arial" w:hAnsi="Arial" w:cs="Arial"/>
                <w:color w:val="000000" w:themeColor="text1"/>
                <w:sz w:val="24"/>
                <w:szCs w:val="24"/>
                <w:lang w:eastAsia="en-GB" w:bidi="en-GB"/>
              </w:rPr>
              <w:t xml:space="preserve"> intervals (months)</w:t>
            </w:r>
          </w:p>
        </w:tc>
      </w:tr>
      <w:tr w:rsidR="00F92F1E" w:rsidRPr="00F92F1E" w14:paraId="2A9B106E" w14:textId="77777777" w:rsidTr="008B729B">
        <w:trPr>
          <w:trHeight w:val="508"/>
        </w:trPr>
        <w:tc>
          <w:tcPr>
            <w:tcW w:w="1276" w:type="dxa"/>
            <w:vMerge/>
            <w:tcBorders>
              <w:top w:val="nil"/>
            </w:tcBorders>
            <w:shd w:val="clear" w:color="auto" w:fill="E5DFEC" w:themeFill="accent4" w:themeFillTint="33"/>
            <w:vAlign w:val="center"/>
          </w:tcPr>
          <w:p w14:paraId="31FEF506"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p>
        </w:tc>
        <w:tc>
          <w:tcPr>
            <w:tcW w:w="4961" w:type="dxa"/>
            <w:vMerge/>
            <w:tcBorders>
              <w:top w:val="nil"/>
            </w:tcBorders>
            <w:shd w:val="clear" w:color="auto" w:fill="E5DFEC" w:themeFill="accent4" w:themeFillTint="33"/>
            <w:vAlign w:val="center"/>
          </w:tcPr>
          <w:p w14:paraId="1D0AAD2A"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p>
        </w:tc>
        <w:tc>
          <w:tcPr>
            <w:tcW w:w="992" w:type="dxa"/>
            <w:shd w:val="clear" w:color="auto" w:fill="E5DFEC" w:themeFill="accent4" w:themeFillTint="33"/>
            <w:vAlign w:val="center"/>
          </w:tcPr>
          <w:p w14:paraId="3DA1F0C3" w14:textId="77777777" w:rsidR="00F92F1E" w:rsidRPr="00F92F1E" w:rsidRDefault="00F92F1E" w:rsidP="00F92F1E">
            <w:pPr>
              <w:widowControl w:val="0"/>
              <w:autoSpaceDE w:val="0"/>
              <w:autoSpaceDN w:val="0"/>
              <w:spacing w:after="0" w:line="240" w:lineRule="auto"/>
              <w:ind w:left="-3"/>
              <w:jc w:val="center"/>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Up to 6 hours</w:t>
            </w:r>
          </w:p>
        </w:tc>
        <w:tc>
          <w:tcPr>
            <w:tcW w:w="851" w:type="dxa"/>
            <w:shd w:val="clear" w:color="auto" w:fill="E5DFEC" w:themeFill="accent4" w:themeFillTint="33"/>
            <w:vAlign w:val="center"/>
          </w:tcPr>
          <w:p w14:paraId="089E2DC7" w14:textId="77777777" w:rsidR="00F92F1E" w:rsidRPr="00F92F1E" w:rsidRDefault="00F92F1E" w:rsidP="00F92F1E">
            <w:pPr>
              <w:widowControl w:val="0"/>
              <w:autoSpaceDE w:val="0"/>
              <w:autoSpaceDN w:val="0"/>
              <w:spacing w:after="0" w:line="240" w:lineRule="auto"/>
              <w:jc w:val="center"/>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6-12 hours</w:t>
            </w:r>
          </w:p>
        </w:tc>
        <w:tc>
          <w:tcPr>
            <w:tcW w:w="850" w:type="dxa"/>
            <w:shd w:val="clear" w:color="auto" w:fill="E5DFEC" w:themeFill="accent4" w:themeFillTint="33"/>
            <w:vAlign w:val="center"/>
          </w:tcPr>
          <w:p w14:paraId="374EE2F7" w14:textId="77777777" w:rsidR="00F92F1E" w:rsidRPr="00F92F1E" w:rsidRDefault="00F92F1E" w:rsidP="00F92F1E">
            <w:pPr>
              <w:widowControl w:val="0"/>
              <w:autoSpaceDE w:val="0"/>
              <w:autoSpaceDN w:val="0"/>
              <w:spacing w:after="0" w:line="240" w:lineRule="auto"/>
              <w:ind w:left="35"/>
              <w:jc w:val="center"/>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12-16 hours</w:t>
            </w:r>
          </w:p>
        </w:tc>
        <w:tc>
          <w:tcPr>
            <w:tcW w:w="851" w:type="dxa"/>
            <w:shd w:val="clear" w:color="auto" w:fill="E5DFEC" w:themeFill="accent4" w:themeFillTint="33"/>
            <w:vAlign w:val="center"/>
          </w:tcPr>
          <w:p w14:paraId="6865F5FE" w14:textId="77777777" w:rsidR="00F92F1E" w:rsidRPr="00F92F1E" w:rsidRDefault="00F92F1E" w:rsidP="00F92F1E">
            <w:pPr>
              <w:widowControl w:val="0"/>
              <w:autoSpaceDE w:val="0"/>
              <w:autoSpaceDN w:val="0"/>
              <w:spacing w:after="0" w:line="240" w:lineRule="auto"/>
              <w:ind w:left="109"/>
              <w:jc w:val="center"/>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16+ hours</w:t>
            </w:r>
          </w:p>
        </w:tc>
      </w:tr>
      <w:tr w:rsidR="00F92F1E" w:rsidRPr="00F92F1E" w14:paraId="5F31CD7D" w14:textId="77777777" w:rsidTr="008B729B">
        <w:trPr>
          <w:trHeight w:val="926"/>
        </w:trPr>
        <w:tc>
          <w:tcPr>
            <w:tcW w:w="1276" w:type="dxa"/>
            <w:shd w:val="clear" w:color="auto" w:fill="auto"/>
            <w:vAlign w:val="center"/>
          </w:tcPr>
          <w:p w14:paraId="19D208CE"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Low</w:t>
            </w:r>
          </w:p>
        </w:tc>
        <w:tc>
          <w:tcPr>
            <w:tcW w:w="4961" w:type="dxa"/>
            <w:shd w:val="clear" w:color="auto" w:fill="auto"/>
            <w:vAlign w:val="center"/>
          </w:tcPr>
          <w:p w14:paraId="29A88D32" w14:textId="77777777" w:rsidR="00F92F1E" w:rsidRPr="00F92F1E" w:rsidRDefault="00F92F1E" w:rsidP="00F92F1E">
            <w:pPr>
              <w:widowControl w:val="0"/>
              <w:autoSpaceDE w:val="0"/>
              <w:autoSpaceDN w:val="0"/>
              <w:spacing w:after="0" w:line="240" w:lineRule="auto"/>
              <w:ind w:left="136"/>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 xml:space="preserve">No significant production of grease </w:t>
            </w:r>
            <w:r w:rsidRPr="00F92F1E">
              <w:rPr>
                <w:rFonts w:ascii="Arial" w:eastAsia="Arial" w:hAnsi="Arial" w:cs="Arial"/>
                <w:color w:val="000000" w:themeColor="text1"/>
                <w:w w:val="95"/>
                <w:sz w:val="24"/>
                <w:szCs w:val="24"/>
                <w:lang w:eastAsia="en-GB" w:bidi="en-GB"/>
              </w:rPr>
              <w:t xml:space="preserve">laden aerosols during </w:t>
            </w:r>
            <w:r w:rsidRPr="00F92F1E">
              <w:rPr>
                <w:rFonts w:ascii="Arial" w:eastAsia="Arial" w:hAnsi="Arial" w:cs="Arial"/>
                <w:color w:val="000000" w:themeColor="text1"/>
                <w:sz w:val="24"/>
                <w:szCs w:val="24"/>
                <w:lang w:eastAsia="en-GB" w:bidi="en-GB"/>
              </w:rPr>
              <w:t xml:space="preserve">normal daily food </w:t>
            </w:r>
            <w:r w:rsidRPr="00F92F1E">
              <w:rPr>
                <w:rFonts w:ascii="Arial" w:eastAsia="Arial" w:hAnsi="Arial" w:cs="Arial"/>
                <w:color w:val="000000" w:themeColor="text1"/>
                <w:w w:val="90"/>
                <w:sz w:val="24"/>
                <w:szCs w:val="24"/>
                <w:lang w:eastAsia="en-GB" w:bidi="en-GB"/>
              </w:rPr>
              <w:t>production operations.</w:t>
            </w:r>
          </w:p>
        </w:tc>
        <w:tc>
          <w:tcPr>
            <w:tcW w:w="992" w:type="dxa"/>
            <w:shd w:val="clear" w:color="auto" w:fill="auto"/>
            <w:vAlign w:val="center"/>
          </w:tcPr>
          <w:p w14:paraId="423D8025"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12</w:t>
            </w:r>
          </w:p>
        </w:tc>
        <w:tc>
          <w:tcPr>
            <w:tcW w:w="851" w:type="dxa"/>
            <w:shd w:val="clear" w:color="auto" w:fill="auto"/>
            <w:vAlign w:val="center"/>
          </w:tcPr>
          <w:p w14:paraId="4C69E222" w14:textId="77777777" w:rsidR="00F92F1E" w:rsidRPr="00F92F1E" w:rsidRDefault="00F92F1E" w:rsidP="00F92F1E">
            <w:pPr>
              <w:widowControl w:val="0"/>
              <w:autoSpaceDE w:val="0"/>
              <w:autoSpaceDN w:val="0"/>
              <w:spacing w:after="0" w:line="240" w:lineRule="auto"/>
              <w:ind w:left="35"/>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12</w:t>
            </w:r>
          </w:p>
        </w:tc>
        <w:tc>
          <w:tcPr>
            <w:tcW w:w="850" w:type="dxa"/>
            <w:shd w:val="clear" w:color="auto" w:fill="auto"/>
            <w:vAlign w:val="center"/>
          </w:tcPr>
          <w:p w14:paraId="15151243"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89"/>
                <w:sz w:val="24"/>
                <w:szCs w:val="24"/>
                <w:lang w:eastAsia="en-GB" w:bidi="en-GB"/>
              </w:rPr>
              <w:t>6</w:t>
            </w:r>
          </w:p>
        </w:tc>
        <w:tc>
          <w:tcPr>
            <w:tcW w:w="851" w:type="dxa"/>
            <w:shd w:val="clear" w:color="auto" w:fill="auto"/>
            <w:vAlign w:val="center"/>
          </w:tcPr>
          <w:p w14:paraId="646A5AFF"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89"/>
                <w:sz w:val="24"/>
                <w:szCs w:val="24"/>
                <w:lang w:eastAsia="en-GB" w:bidi="en-GB"/>
              </w:rPr>
              <w:t>6</w:t>
            </w:r>
          </w:p>
        </w:tc>
      </w:tr>
      <w:tr w:rsidR="00F92F1E" w:rsidRPr="00F92F1E" w14:paraId="4195E6E4" w14:textId="77777777" w:rsidTr="008B729B">
        <w:trPr>
          <w:trHeight w:val="698"/>
        </w:trPr>
        <w:tc>
          <w:tcPr>
            <w:tcW w:w="1276" w:type="dxa"/>
            <w:shd w:val="clear" w:color="auto" w:fill="auto"/>
            <w:vAlign w:val="center"/>
          </w:tcPr>
          <w:p w14:paraId="14A520FC"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Medium</w:t>
            </w:r>
          </w:p>
        </w:tc>
        <w:tc>
          <w:tcPr>
            <w:tcW w:w="4961" w:type="dxa"/>
            <w:shd w:val="clear" w:color="auto" w:fill="auto"/>
            <w:vAlign w:val="center"/>
          </w:tcPr>
          <w:p w14:paraId="1DEF1E98" w14:textId="77777777" w:rsidR="00F92F1E" w:rsidRPr="00F92F1E" w:rsidRDefault="00F92F1E" w:rsidP="00F92F1E">
            <w:pPr>
              <w:widowControl w:val="0"/>
              <w:autoSpaceDE w:val="0"/>
              <w:autoSpaceDN w:val="0"/>
              <w:spacing w:after="0" w:line="240" w:lineRule="auto"/>
              <w:ind w:left="136"/>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95"/>
                <w:sz w:val="24"/>
                <w:szCs w:val="24"/>
                <w:lang w:eastAsia="en-GB" w:bidi="en-GB"/>
              </w:rPr>
              <w:t>Moderate production of grease laden aerosols during normal daily food production operations.</w:t>
            </w:r>
          </w:p>
        </w:tc>
        <w:tc>
          <w:tcPr>
            <w:tcW w:w="992" w:type="dxa"/>
            <w:shd w:val="clear" w:color="auto" w:fill="auto"/>
            <w:vAlign w:val="center"/>
          </w:tcPr>
          <w:p w14:paraId="797565C9"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85"/>
                <w:sz w:val="24"/>
                <w:szCs w:val="24"/>
                <w:lang w:eastAsia="en-GB" w:bidi="en-GB"/>
              </w:rPr>
              <w:t>12</w:t>
            </w:r>
          </w:p>
        </w:tc>
        <w:tc>
          <w:tcPr>
            <w:tcW w:w="851" w:type="dxa"/>
            <w:shd w:val="clear" w:color="auto" w:fill="auto"/>
            <w:vAlign w:val="center"/>
          </w:tcPr>
          <w:p w14:paraId="27CED58B" w14:textId="77777777" w:rsidR="00F92F1E" w:rsidRPr="00F92F1E" w:rsidRDefault="00F92F1E" w:rsidP="00F92F1E">
            <w:pPr>
              <w:widowControl w:val="0"/>
              <w:autoSpaceDE w:val="0"/>
              <w:autoSpaceDN w:val="0"/>
              <w:spacing w:after="0" w:line="240" w:lineRule="auto"/>
              <w:ind w:left="47"/>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6</w:t>
            </w:r>
          </w:p>
        </w:tc>
        <w:tc>
          <w:tcPr>
            <w:tcW w:w="850" w:type="dxa"/>
            <w:shd w:val="clear" w:color="auto" w:fill="auto"/>
            <w:vAlign w:val="center"/>
          </w:tcPr>
          <w:p w14:paraId="44E30359"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4</w:t>
            </w:r>
          </w:p>
        </w:tc>
        <w:tc>
          <w:tcPr>
            <w:tcW w:w="851" w:type="dxa"/>
            <w:shd w:val="clear" w:color="auto" w:fill="auto"/>
            <w:vAlign w:val="center"/>
          </w:tcPr>
          <w:p w14:paraId="54043C9B"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89"/>
                <w:sz w:val="24"/>
                <w:szCs w:val="24"/>
                <w:lang w:eastAsia="en-GB" w:bidi="en-GB"/>
              </w:rPr>
              <w:t>3</w:t>
            </w:r>
          </w:p>
        </w:tc>
      </w:tr>
      <w:tr w:rsidR="00F92F1E" w:rsidRPr="00F92F1E" w14:paraId="07EA159B" w14:textId="77777777" w:rsidTr="008B729B">
        <w:trPr>
          <w:trHeight w:val="978"/>
        </w:trPr>
        <w:tc>
          <w:tcPr>
            <w:tcW w:w="1276" w:type="dxa"/>
            <w:shd w:val="clear" w:color="auto" w:fill="auto"/>
            <w:vAlign w:val="center"/>
          </w:tcPr>
          <w:p w14:paraId="2EC797D7"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High</w:t>
            </w:r>
          </w:p>
        </w:tc>
        <w:tc>
          <w:tcPr>
            <w:tcW w:w="4961" w:type="dxa"/>
            <w:shd w:val="clear" w:color="auto" w:fill="auto"/>
            <w:vAlign w:val="center"/>
          </w:tcPr>
          <w:p w14:paraId="3A18D2DF" w14:textId="77777777" w:rsidR="00F92F1E" w:rsidRPr="00F92F1E" w:rsidRDefault="00F92F1E" w:rsidP="00F92F1E">
            <w:pPr>
              <w:widowControl w:val="0"/>
              <w:autoSpaceDE w:val="0"/>
              <w:autoSpaceDN w:val="0"/>
              <w:spacing w:after="0" w:line="240" w:lineRule="auto"/>
              <w:ind w:left="136"/>
              <w:rPr>
                <w:rFonts w:ascii="Arial" w:eastAsia="Arial" w:hAnsi="Arial" w:cs="Arial"/>
                <w:color w:val="000000" w:themeColor="text1"/>
                <w:sz w:val="24"/>
                <w:szCs w:val="24"/>
                <w:lang w:eastAsia="en-GB" w:bidi="en-GB"/>
              </w:rPr>
            </w:pPr>
            <w:r w:rsidRPr="00F92F1E">
              <w:rPr>
                <w:rFonts w:ascii="Arial" w:eastAsia="Arial" w:hAnsi="Arial" w:cs="Arial"/>
                <w:color w:val="000000" w:themeColor="text1"/>
                <w:sz w:val="24"/>
                <w:szCs w:val="24"/>
                <w:lang w:eastAsia="en-GB" w:bidi="en-GB"/>
              </w:rPr>
              <w:t xml:space="preserve">Heavy, </w:t>
            </w:r>
            <w:proofErr w:type="gramStart"/>
            <w:r w:rsidRPr="00F92F1E">
              <w:rPr>
                <w:rFonts w:ascii="Arial" w:eastAsia="Arial" w:hAnsi="Arial" w:cs="Arial"/>
                <w:color w:val="000000" w:themeColor="text1"/>
                <w:sz w:val="24"/>
                <w:szCs w:val="24"/>
                <w:lang w:eastAsia="en-GB" w:bidi="en-GB"/>
              </w:rPr>
              <w:t>significant</w:t>
            </w:r>
            <w:proofErr w:type="gramEnd"/>
            <w:r w:rsidRPr="00F92F1E">
              <w:rPr>
                <w:rFonts w:ascii="Arial" w:eastAsia="Arial" w:hAnsi="Arial" w:cs="Arial"/>
                <w:color w:val="000000" w:themeColor="text1"/>
                <w:sz w:val="24"/>
                <w:szCs w:val="24"/>
                <w:lang w:eastAsia="en-GB" w:bidi="en-GB"/>
              </w:rPr>
              <w:t xml:space="preserve"> or </w:t>
            </w:r>
            <w:r w:rsidRPr="00F92F1E">
              <w:rPr>
                <w:rFonts w:ascii="Arial" w:eastAsia="Arial" w:hAnsi="Arial" w:cs="Arial"/>
                <w:color w:val="000000" w:themeColor="text1"/>
                <w:w w:val="95"/>
                <w:sz w:val="24"/>
                <w:szCs w:val="24"/>
                <w:lang w:eastAsia="en-GB" w:bidi="en-GB"/>
              </w:rPr>
              <w:t>continual production of grease laden aerosols during normal daily food production operations.</w:t>
            </w:r>
          </w:p>
        </w:tc>
        <w:tc>
          <w:tcPr>
            <w:tcW w:w="992" w:type="dxa"/>
            <w:shd w:val="clear" w:color="auto" w:fill="auto"/>
            <w:vAlign w:val="center"/>
          </w:tcPr>
          <w:p w14:paraId="655E7E97"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89"/>
                <w:sz w:val="24"/>
                <w:szCs w:val="24"/>
                <w:lang w:eastAsia="en-GB" w:bidi="en-GB"/>
              </w:rPr>
              <w:t>6</w:t>
            </w:r>
          </w:p>
        </w:tc>
        <w:tc>
          <w:tcPr>
            <w:tcW w:w="851" w:type="dxa"/>
            <w:shd w:val="clear" w:color="auto" w:fill="auto"/>
            <w:vAlign w:val="center"/>
          </w:tcPr>
          <w:p w14:paraId="752B4EEE" w14:textId="77777777" w:rsidR="00F92F1E" w:rsidRPr="00F92F1E" w:rsidRDefault="00F92F1E" w:rsidP="00F92F1E">
            <w:pPr>
              <w:widowControl w:val="0"/>
              <w:autoSpaceDE w:val="0"/>
              <w:autoSpaceDN w:val="0"/>
              <w:spacing w:after="0" w:line="240" w:lineRule="auto"/>
              <w:ind w:left="47"/>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89"/>
                <w:sz w:val="24"/>
                <w:szCs w:val="24"/>
                <w:lang w:eastAsia="en-GB" w:bidi="en-GB"/>
              </w:rPr>
              <w:t>3</w:t>
            </w:r>
          </w:p>
        </w:tc>
        <w:tc>
          <w:tcPr>
            <w:tcW w:w="850" w:type="dxa"/>
            <w:shd w:val="clear" w:color="auto" w:fill="auto"/>
            <w:vAlign w:val="center"/>
          </w:tcPr>
          <w:p w14:paraId="197FE5C4"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89"/>
                <w:sz w:val="24"/>
                <w:szCs w:val="24"/>
                <w:lang w:eastAsia="en-GB" w:bidi="en-GB"/>
              </w:rPr>
              <w:t>3</w:t>
            </w:r>
          </w:p>
        </w:tc>
        <w:tc>
          <w:tcPr>
            <w:tcW w:w="851" w:type="dxa"/>
            <w:shd w:val="clear" w:color="auto" w:fill="auto"/>
            <w:vAlign w:val="center"/>
          </w:tcPr>
          <w:p w14:paraId="5A9E59DB" w14:textId="77777777" w:rsidR="00F92F1E" w:rsidRPr="00F92F1E" w:rsidRDefault="00F92F1E" w:rsidP="00F92F1E">
            <w:pPr>
              <w:widowControl w:val="0"/>
              <w:autoSpaceDE w:val="0"/>
              <w:autoSpaceDN w:val="0"/>
              <w:spacing w:after="0" w:line="240" w:lineRule="auto"/>
              <w:rPr>
                <w:rFonts w:ascii="Arial" w:eastAsia="Arial" w:hAnsi="Arial" w:cs="Arial"/>
                <w:color w:val="000000" w:themeColor="text1"/>
                <w:sz w:val="24"/>
                <w:szCs w:val="24"/>
                <w:lang w:eastAsia="en-GB" w:bidi="en-GB"/>
              </w:rPr>
            </w:pPr>
            <w:r w:rsidRPr="00F92F1E">
              <w:rPr>
                <w:rFonts w:ascii="Arial" w:eastAsia="Arial" w:hAnsi="Arial" w:cs="Arial"/>
                <w:color w:val="000000" w:themeColor="text1"/>
                <w:w w:val="89"/>
                <w:sz w:val="24"/>
                <w:szCs w:val="24"/>
                <w:lang w:eastAsia="en-GB" w:bidi="en-GB"/>
              </w:rPr>
              <w:t>2</w:t>
            </w:r>
          </w:p>
        </w:tc>
      </w:tr>
    </w:tbl>
    <w:p w14:paraId="3A4B9621" w14:textId="77777777" w:rsidR="00F92F1E" w:rsidRPr="00F92F1E" w:rsidRDefault="00F92F1E" w:rsidP="00F92F1E">
      <w:pPr>
        <w:spacing w:after="0" w:line="240" w:lineRule="auto"/>
        <w:rPr>
          <w:rFonts w:ascii="Arial" w:hAnsi="Arial" w:cs="Arial"/>
          <w:sz w:val="24"/>
          <w:szCs w:val="24"/>
          <w:u w:val="single"/>
        </w:rPr>
      </w:pPr>
      <w:bookmarkStart w:id="9" w:name="Table1"/>
      <w:bookmarkEnd w:id="9"/>
      <w:r w:rsidRPr="00F92F1E">
        <w:rPr>
          <w:rFonts w:ascii="Arial" w:hAnsi="Arial" w:cs="Arial"/>
          <w:sz w:val="24"/>
          <w:szCs w:val="24"/>
          <w:u w:val="single"/>
        </w:rPr>
        <w:t>Table 1 – Kitchen grease extract systems</w:t>
      </w:r>
    </w:p>
    <w:p w14:paraId="00CB3A06" w14:textId="77777777" w:rsidR="00F92F1E" w:rsidRPr="00F92F1E" w:rsidRDefault="00F92F1E" w:rsidP="00F92F1E">
      <w:pPr>
        <w:tabs>
          <w:tab w:val="left" w:pos="2248"/>
        </w:tabs>
        <w:spacing w:after="0" w:line="240" w:lineRule="auto"/>
        <w:jc w:val="both"/>
        <w:rPr>
          <w:rFonts w:ascii="Arial" w:eastAsia="Times New Roman" w:hAnsi="Arial" w:cs="Arial"/>
          <w:color w:val="000000" w:themeColor="text1"/>
          <w:sz w:val="24"/>
          <w:szCs w:val="24"/>
          <w:lang w:val="en" w:eastAsia="en-GB"/>
        </w:rPr>
      </w:pPr>
    </w:p>
    <w:p w14:paraId="0F7D96FA"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Note: Commercial liability/property insurance policies invariably contain conditions and warranties that stipulate a minimum cleaning frequency for grease extract ductwork systems under the insurance contract which can be a higher frequency of cleaning than Building and Engineering Services Association guide TR/19 recommendations.  Failure to comply with such requirements will invalidate the property insurance policy.  TR/19 also lists the qualification criteria that the responsible person should consider when selected specialist contractors.</w:t>
      </w:r>
    </w:p>
    <w:p w14:paraId="6015C166"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3DA93D76"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bookmarkStart w:id="10" w:name="PostCleanRecord"/>
      <w:bookmarkEnd w:id="10"/>
      <w:r w:rsidRPr="00F92F1E">
        <w:rPr>
          <w:rFonts w:ascii="Arial" w:eastAsia="Times New Roman" w:hAnsi="Arial" w:cs="Arial"/>
          <w:color w:val="000000" w:themeColor="text1"/>
          <w:sz w:val="24"/>
          <w:szCs w:val="24"/>
          <w:lang w:val="en" w:eastAsia="en-GB"/>
        </w:rPr>
        <w:t xml:space="preserve">The canopy and canopy/extract plenum </w:t>
      </w:r>
      <w:proofErr w:type="gramStart"/>
      <w:r w:rsidRPr="00F92F1E">
        <w:rPr>
          <w:rFonts w:ascii="Arial" w:eastAsia="Times New Roman" w:hAnsi="Arial" w:cs="Arial"/>
          <w:color w:val="000000" w:themeColor="text1"/>
          <w:sz w:val="24"/>
          <w:szCs w:val="24"/>
          <w:lang w:val="en" w:eastAsia="en-GB"/>
        </w:rPr>
        <w:t>is</w:t>
      </w:r>
      <w:proofErr w:type="gramEnd"/>
      <w:r w:rsidRPr="00F92F1E">
        <w:rPr>
          <w:rFonts w:ascii="Arial" w:eastAsia="Times New Roman" w:hAnsi="Arial" w:cs="Arial"/>
          <w:color w:val="000000" w:themeColor="text1"/>
          <w:sz w:val="24"/>
          <w:szCs w:val="24"/>
          <w:lang w:val="en" w:eastAsia="en-GB"/>
        </w:rPr>
        <w:t xml:space="preserve"> an area of higher fire risk and consideration should be given to more frequent cleaning in accordance with insurers’ requirements.  Periodic specialist cleaning should be accompanied by daily or weekly cleaning of canopies and filters and are typically carried out by the kitchen operator.</w:t>
      </w:r>
    </w:p>
    <w:p w14:paraId="20A79A1B"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p>
    <w:p w14:paraId="58CFC72A" w14:textId="77777777" w:rsidR="00F92F1E" w:rsidRPr="00F92F1E" w:rsidRDefault="00F92F1E" w:rsidP="00F92F1E">
      <w:pPr>
        <w:tabs>
          <w:tab w:val="left" w:pos="2248"/>
        </w:tabs>
        <w:spacing w:after="0" w:line="240" w:lineRule="auto"/>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After cleaning the extraction systems, the cleaning contractor should provide the client with a Post-Clean Verification of Cleanliness report.  This report shall include the following:</w:t>
      </w:r>
    </w:p>
    <w:p w14:paraId="3618696E" w14:textId="77777777" w:rsidR="00F92F1E" w:rsidRPr="00F92F1E" w:rsidRDefault="00F92F1E" w:rsidP="00F92F1E">
      <w:pPr>
        <w:numPr>
          <w:ilvl w:val="0"/>
          <w:numId w:val="14"/>
        </w:numPr>
        <w:spacing w:after="0" w:line="240" w:lineRule="auto"/>
        <w:ind w:left="426" w:hanging="284"/>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The system(s) </w:t>
      </w:r>
      <w:proofErr w:type="gramStart"/>
      <w:r w:rsidRPr="00F92F1E">
        <w:rPr>
          <w:rFonts w:ascii="Arial" w:eastAsia="Times New Roman" w:hAnsi="Arial" w:cs="Arial"/>
          <w:color w:val="000000" w:themeColor="text1"/>
          <w:sz w:val="24"/>
          <w:szCs w:val="24"/>
          <w:lang w:val="en" w:eastAsia="en-GB"/>
        </w:rPr>
        <w:t>cleaned;</w:t>
      </w:r>
      <w:proofErr w:type="gramEnd"/>
    </w:p>
    <w:p w14:paraId="61916C43" w14:textId="77777777" w:rsidR="00F92F1E" w:rsidRPr="00F92F1E" w:rsidRDefault="00F92F1E" w:rsidP="00F92F1E">
      <w:pPr>
        <w:numPr>
          <w:ilvl w:val="0"/>
          <w:numId w:val="14"/>
        </w:numPr>
        <w:spacing w:after="0" w:line="240" w:lineRule="auto"/>
        <w:ind w:left="426" w:hanging="284"/>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Pre and post clean </w:t>
      </w:r>
      <w:proofErr w:type="gramStart"/>
      <w:r w:rsidRPr="00F92F1E">
        <w:rPr>
          <w:rFonts w:ascii="Arial" w:eastAsia="Times New Roman" w:hAnsi="Arial" w:cs="Arial"/>
          <w:color w:val="000000" w:themeColor="text1"/>
          <w:sz w:val="24"/>
          <w:szCs w:val="24"/>
          <w:lang w:val="en" w:eastAsia="en-GB"/>
        </w:rPr>
        <w:t>measurements;</w:t>
      </w:r>
      <w:proofErr w:type="gramEnd"/>
    </w:p>
    <w:p w14:paraId="22F3353C" w14:textId="77777777" w:rsidR="00F92F1E" w:rsidRPr="00F92F1E" w:rsidRDefault="00F92F1E" w:rsidP="00F92F1E">
      <w:pPr>
        <w:numPr>
          <w:ilvl w:val="0"/>
          <w:numId w:val="14"/>
        </w:numPr>
        <w:spacing w:after="0" w:line="240" w:lineRule="auto"/>
        <w:ind w:left="426" w:hanging="284"/>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Pre and post clean photographic </w:t>
      </w:r>
      <w:proofErr w:type="gramStart"/>
      <w:r w:rsidRPr="00F92F1E">
        <w:rPr>
          <w:rFonts w:ascii="Arial" w:eastAsia="Times New Roman" w:hAnsi="Arial" w:cs="Arial"/>
          <w:color w:val="000000" w:themeColor="text1"/>
          <w:sz w:val="24"/>
          <w:szCs w:val="24"/>
          <w:lang w:val="en" w:eastAsia="en-GB"/>
        </w:rPr>
        <w:t>records;</w:t>
      </w:r>
      <w:proofErr w:type="gramEnd"/>
    </w:p>
    <w:p w14:paraId="674E120A" w14:textId="77777777" w:rsidR="00F92F1E" w:rsidRPr="00F92F1E" w:rsidRDefault="00F92F1E" w:rsidP="00F92F1E">
      <w:pPr>
        <w:numPr>
          <w:ilvl w:val="0"/>
          <w:numId w:val="14"/>
        </w:numPr>
        <w:spacing w:after="0" w:line="240" w:lineRule="auto"/>
        <w:ind w:left="426" w:hanging="284"/>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Additional works carried out (if any</w:t>
      </w:r>
      <w:proofErr w:type="gramStart"/>
      <w:r w:rsidRPr="00F92F1E">
        <w:rPr>
          <w:rFonts w:ascii="Arial" w:eastAsia="Times New Roman" w:hAnsi="Arial" w:cs="Arial"/>
          <w:color w:val="000000" w:themeColor="text1"/>
          <w:sz w:val="24"/>
          <w:szCs w:val="24"/>
          <w:lang w:val="en" w:eastAsia="en-GB"/>
        </w:rPr>
        <w:t>);</w:t>
      </w:r>
      <w:proofErr w:type="gramEnd"/>
    </w:p>
    <w:p w14:paraId="39170245" w14:textId="77777777" w:rsidR="00F92F1E" w:rsidRPr="00F92F1E" w:rsidRDefault="00F92F1E" w:rsidP="00F92F1E">
      <w:pPr>
        <w:numPr>
          <w:ilvl w:val="0"/>
          <w:numId w:val="14"/>
        </w:numPr>
        <w:spacing w:after="0" w:line="240" w:lineRule="auto"/>
        <w:ind w:left="426" w:hanging="284"/>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Control Of Substances Hazardous to Health (COSHH) data on any chemicals </w:t>
      </w:r>
      <w:proofErr w:type="gramStart"/>
      <w:r w:rsidRPr="00F92F1E">
        <w:rPr>
          <w:rFonts w:ascii="Arial" w:eastAsia="Times New Roman" w:hAnsi="Arial" w:cs="Arial"/>
          <w:color w:val="000000" w:themeColor="text1"/>
          <w:sz w:val="24"/>
          <w:szCs w:val="24"/>
          <w:lang w:val="en" w:eastAsia="en-GB"/>
        </w:rPr>
        <w:t>used;</w:t>
      </w:r>
      <w:proofErr w:type="gramEnd"/>
    </w:p>
    <w:p w14:paraId="42BED57A" w14:textId="77777777" w:rsidR="00F92F1E" w:rsidRPr="00F92F1E" w:rsidRDefault="00F92F1E" w:rsidP="00F92F1E">
      <w:pPr>
        <w:numPr>
          <w:ilvl w:val="0"/>
          <w:numId w:val="14"/>
        </w:numPr>
        <w:spacing w:after="0" w:line="240" w:lineRule="auto"/>
        <w:ind w:left="426" w:hanging="284"/>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Recommendations for future cleaning </w:t>
      </w:r>
      <w:proofErr w:type="gramStart"/>
      <w:r w:rsidRPr="00F92F1E">
        <w:rPr>
          <w:rFonts w:ascii="Arial" w:eastAsia="Times New Roman" w:hAnsi="Arial" w:cs="Arial"/>
          <w:color w:val="000000" w:themeColor="text1"/>
          <w:sz w:val="24"/>
          <w:szCs w:val="24"/>
          <w:lang w:val="en" w:eastAsia="en-GB"/>
        </w:rPr>
        <w:t>requirements;</w:t>
      </w:r>
      <w:proofErr w:type="gramEnd"/>
    </w:p>
    <w:p w14:paraId="2E107CF1" w14:textId="77777777" w:rsidR="00F92F1E" w:rsidRPr="00F92F1E" w:rsidRDefault="00F92F1E" w:rsidP="00F92F1E">
      <w:pPr>
        <w:numPr>
          <w:ilvl w:val="0"/>
          <w:numId w:val="14"/>
        </w:numPr>
        <w:spacing w:after="0" w:line="240" w:lineRule="auto"/>
        <w:ind w:left="426" w:hanging="284"/>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 xml:space="preserve">A certificate </w:t>
      </w:r>
      <w:proofErr w:type="spellStart"/>
      <w:r w:rsidRPr="00F92F1E">
        <w:rPr>
          <w:rFonts w:ascii="Arial" w:eastAsia="Times New Roman" w:hAnsi="Arial" w:cs="Arial"/>
          <w:color w:val="000000" w:themeColor="text1"/>
          <w:sz w:val="24"/>
          <w:szCs w:val="24"/>
          <w:lang w:val="en" w:eastAsia="en-GB"/>
        </w:rPr>
        <w:t>summarising</w:t>
      </w:r>
      <w:proofErr w:type="spellEnd"/>
      <w:r w:rsidRPr="00F92F1E">
        <w:rPr>
          <w:rFonts w:ascii="Arial" w:eastAsia="Times New Roman" w:hAnsi="Arial" w:cs="Arial"/>
          <w:color w:val="000000" w:themeColor="text1"/>
          <w:sz w:val="24"/>
          <w:szCs w:val="24"/>
          <w:lang w:val="en" w:eastAsia="en-GB"/>
        </w:rPr>
        <w:t xml:space="preserve"> the cleaning works </w:t>
      </w:r>
      <w:proofErr w:type="gramStart"/>
      <w:r w:rsidRPr="00F92F1E">
        <w:rPr>
          <w:rFonts w:ascii="Arial" w:eastAsia="Times New Roman" w:hAnsi="Arial" w:cs="Arial"/>
          <w:color w:val="000000" w:themeColor="text1"/>
          <w:sz w:val="24"/>
          <w:szCs w:val="24"/>
          <w:lang w:val="en" w:eastAsia="en-GB"/>
        </w:rPr>
        <w:t>completed;</w:t>
      </w:r>
      <w:proofErr w:type="gramEnd"/>
    </w:p>
    <w:p w14:paraId="4995F84D" w14:textId="77777777" w:rsidR="00F92F1E" w:rsidRPr="00F92F1E" w:rsidRDefault="00F92F1E" w:rsidP="00F92F1E">
      <w:pPr>
        <w:numPr>
          <w:ilvl w:val="0"/>
          <w:numId w:val="14"/>
        </w:numPr>
        <w:spacing w:after="0" w:line="240" w:lineRule="auto"/>
        <w:ind w:left="426" w:hanging="284"/>
        <w:contextualSpacing/>
        <w:rPr>
          <w:rFonts w:ascii="Arial" w:eastAsia="Times New Roman" w:hAnsi="Arial" w:cs="Arial"/>
          <w:color w:val="000000" w:themeColor="text1"/>
          <w:sz w:val="24"/>
          <w:szCs w:val="24"/>
          <w:lang w:val="en" w:eastAsia="en-GB"/>
        </w:rPr>
      </w:pPr>
      <w:r w:rsidRPr="00F92F1E">
        <w:rPr>
          <w:rFonts w:ascii="Arial" w:eastAsia="Times New Roman" w:hAnsi="Arial" w:cs="Arial"/>
          <w:color w:val="000000" w:themeColor="text1"/>
          <w:sz w:val="24"/>
          <w:szCs w:val="24"/>
          <w:lang w:val="en" w:eastAsia="en-GB"/>
        </w:rPr>
        <w:t>A sketch or schematic of the system indicating access panels and testing locations and clearly highlighting any un-cleaned/inaccessible areas with an explanation as to why the area could not be accessed/cleaned.  (It is the duty of the client’s responsible person to highlight any inaccessible/un-cleaned areas to their insurer or other relevant third party, such as a landlord).</w:t>
      </w:r>
    </w:p>
    <w:p w14:paraId="19637825" w14:textId="77777777" w:rsidR="00F92F1E" w:rsidRPr="00F92F1E" w:rsidRDefault="00F92F1E" w:rsidP="00F92F1E">
      <w:pPr>
        <w:tabs>
          <w:tab w:val="left" w:pos="2248"/>
        </w:tabs>
        <w:spacing w:after="0" w:line="240" w:lineRule="auto"/>
        <w:jc w:val="both"/>
        <w:rPr>
          <w:rFonts w:ascii="Arial" w:eastAsia="Times New Roman" w:hAnsi="Arial" w:cs="Arial"/>
          <w:color w:val="000000" w:themeColor="text1"/>
          <w:sz w:val="24"/>
          <w:szCs w:val="24"/>
          <w:lang w:val="en" w:eastAsia="en-GB"/>
        </w:rPr>
      </w:pPr>
    </w:p>
    <w:p w14:paraId="1804D293" w14:textId="77777777" w:rsidR="00F92F1E" w:rsidRPr="00F92F1E" w:rsidRDefault="00F92F1E" w:rsidP="00F92F1E">
      <w:pPr>
        <w:pStyle w:val="Heading1"/>
        <w:tabs>
          <w:tab w:val="left" w:pos="567"/>
        </w:tabs>
        <w:ind w:left="567" w:hanging="567"/>
      </w:pPr>
      <w:bookmarkStart w:id="11" w:name="_Toc120299649"/>
      <w:r w:rsidRPr="00F92F1E">
        <w:t>4</w:t>
      </w:r>
      <w:r w:rsidRPr="00F92F1E">
        <w:tab/>
        <w:t>Catering Kitchen Extract Systems and the Regulatory Reform (Fire Safety) Order 2005 (The Order)</w:t>
      </w:r>
      <w:bookmarkEnd w:id="11"/>
    </w:p>
    <w:p w14:paraId="0C0F0E8C" w14:textId="77777777" w:rsidR="00F92F1E" w:rsidRPr="00F92F1E" w:rsidRDefault="00F92F1E" w:rsidP="00F92F1E">
      <w:pPr>
        <w:spacing w:after="0" w:line="240" w:lineRule="auto"/>
        <w:rPr>
          <w:rFonts w:ascii="Arial" w:hAnsi="Arial" w:cs="Arial"/>
          <w:color w:val="000000" w:themeColor="text1"/>
          <w:sz w:val="24"/>
          <w:szCs w:val="24"/>
        </w:rPr>
      </w:pPr>
    </w:p>
    <w:p w14:paraId="38ADCCBA"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Northamptonshire Fire and Rescue Service (NFRS) Fire Protection Officers (FPOs) will look specifically at the following areas when auditing premises that fall under the Order.</w:t>
      </w:r>
    </w:p>
    <w:p w14:paraId="7E93DA6D" w14:textId="77777777" w:rsidR="00F92F1E" w:rsidRPr="00F92F1E" w:rsidRDefault="00F92F1E" w:rsidP="00F92F1E">
      <w:pPr>
        <w:spacing w:after="0" w:line="240" w:lineRule="auto"/>
        <w:rPr>
          <w:rFonts w:ascii="Arial" w:hAnsi="Arial" w:cs="Arial"/>
          <w:color w:val="000000" w:themeColor="text1"/>
          <w:sz w:val="24"/>
          <w:szCs w:val="24"/>
        </w:rPr>
      </w:pPr>
    </w:p>
    <w:p w14:paraId="092F8628"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 xml:space="preserve">The General Fire Precautions (GFPs), in relation to kitchen extract systems are ‘measures to reduce the risk of fire on the premises and the risk of the spread of fire on the premises, Article 4 (1) (a).  FPOs will follow the line of the kitchen extract ductwork through the building, ensuring that the entire ductwork has sufficient </w:t>
      </w:r>
      <w:hyperlink w:anchor="AccessPanels" w:history="1">
        <w:r w:rsidRPr="00F92F1E">
          <w:rPr>
            <w:rFonts w:ascii="Arial" w:hAnsi="Arial" w:cs="Arial"/>
            <w:color w:val="0000FF"/>
            <w:sz w:val="24"/>
            <w:szCs w:val="24"/>
            <w:u w:val="single"/>
          </w:rPr>
          <w:t>access panels</w:t>
        </w:r>
      </w:hyperlink>
      <w:r w:rsidRPr="00F92F1E">
        <w:rPr>
          <w:rFonts w:ascii="Arial" w:hAnsi="Arial" w:cs="Arial"/>
          <w:color w:val="000000" w:themeColor="text1"/>
          <w:sz w:val="24"/>
          <w:szCs w:val="24"/>
        </w:rPr>
        <w:t xml:space="preserve"> for cleaning and inspection purposes, and that it is a separate and independent extract system.  Where ductwork passes through compartment walls and floors, there should be fire stopping that matches the fire resistance of the compartment that the ducting passes through (see section on </w:t>
      </w:r>
      <w:hyperlink w:anchor="Ductwork" w:history="1">
        <w:r w:rsidRPr="00F92F1E">
          <w:rPr>
            <w:rFonts w:ascii="Arial" w:hAnsi="Arial" w:cs="Arial"/>
            <w:color w:val="0000FF"/>
            <w:sz w:val="24"/>
            <w:szCs w:val="24"/>
            <w:u w:val="single"/>
          </w:rPr>
          <w:t>fire rated ductwork</w:t>
        </w:r>
      </w:hyperlink>
      <w:r w:rsidRPr="00F92F1E">
        <w:rPr>
          <w:rFonts w:ascii="Arial" w:hAnsi="Arial" w:cs="Arial"/>
          <w:color w:val="000000" w:themeColor="text1"/>
          <w:sz w:val="24"/>
          <w:szCs w:val="24"/>
        </w:rPr>
        <w:t>).</w:t>
      </w:r>
    </w:p>
    <w:p w14:paraId="7F3A5810" w14:textId="77777777" w:rsidR="00F92F1E" w:rsidRPr="00F92F1E" w:rsidRDefault="00F92F1E" w:rsidP="00F92F1E">
      <w:pPr>
        <w:spacing w:after="0" w:line="240" w:lineRule="auto"/>
        <w:rPr>
          <w:rFonts w:ascii="Arial" w:hAnsi="Arial" w:cs="Arial"/>
          <w:color w:val="000000" w:themeColor="text1"/>
          <w:sz w:val="24"/>
          <w:szCs w:val="24"/>
        </w:rPr>
      </w:pPr>
    </w:p>
    <w:p w14:paraId="7C514C1B"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 xml:space="preserve">The Insurers’ Fire Research Strategy document RC44, Recommendations for Fire Risk Assessment of Catering Extract Ventilation, is aimed principally at the person responsible for ensuring that such an assessment is performed.  RC44 provides for a fire risk assessment of extract systems in catering kitchens, including questions in the document’s Appendix, together with supporting explanation and guidance.  A detailed assessment of catering kitchen extract systems should be contained in the premises fire risk assessment, and all systems will require cleaning annually as a minimum, unless the fire risk assessment recommends otherwise.  </w:t>
      </w:r>
      <w:hyperlink w:anchor="FrequencyOfMaintenance" w:history="1">
        <w:r w:rsidRPr="00F92F1E">
          <w:rPr>
            <w:rFonts w:ascii="Arial" w:hAnsi="Arial" w:cs="Arial"/>
            <w:color w:val="0000FF"/>
            <w:sz w:val="24"/>
            <w:szCs w:val="24"/>
            <w:u w:val="single"/>
          </w:rPr>
          <w:t>Section 3</w:t>
        </w:r>
      </w:hyperlink>
      <w:r w:rsidRPr="00F92F1E">
        <w:rPr>
          <w:rFonts w:ascii="Arial" w:hAnsi="Arial" w:cs="Arial"/>
          <w:color w:val="000000" w:themeColor="text1"/>
          <w:sz w:val="24"/>
          <w:szCs w:val="24"/>
        </w:rPr>
        <w:t xml:space="preserve"> and </w:t>
      </w:r>
      <w:hyperlink w:anchor="Table1" w:history="1">
        <w:r w:rsidRPr="00F92F1E">
          <w:rPr>
            <w:rFonts w:ascii="Arial" w:hAnsi="Arial" w:cs="Arial"/>
            <w:color w:val="0000FF"/>
            <w:sz w:val="24"/>
            <w:szCs w:val="24"/>
            <w:u w:val="single"/>
          </w:rPr>
          <w:t>Table 1</w:t>
        </w:r>
      </w:hyperlink>
      <w:r w:rsidRPr="00F92F1E">
        <w:rPr>
          <w:rFonts w:ascii="Arial" w:hAnsi="Arial" w:cs="Arial"/>
          <w:color w:val="000000" w:themeColor="text1"/>
          <w:sz w:val="24"/>
          <w:szCs w:val="24"/>
        </w:rPr>
        <w:t xml:space="preserve"> gives appropriate guidance for the frequency of maintenance.  There should be an assessment of the discharge duct ensuring that it is not sited so as to jeopardize the building, i.e. away from final exits, combustible building cladding/roof coverings and openings into the </w:t>
      </w:r>
      <w:proofErr w:type="gramStart"/>
      <w:r w:rsidRPr="00F92F1E">
        <w:rPr>
          <w:rFonts w:ascii="Arial" w:hAnsi="Arial" w:cs="Arial"/>
          <w:color w:val="000000" w:themeColor="text1"/>
          <w:sz w:val="24"/>
          <w:szCs w:val="24"/>
        </w:rPr>
        <w:t>building .</w:t>
      </w:r>
      <w:proofErr w:type="gramEnd"/>
    </w:p>
    <w:p w14:paraId="55E19008" w14:textId="77777777" w:rsidR="00F92F1E" w:rsidRPr="00F92F1E" w:rsidRDefault="00F92F1E" w:rsidP="00F92F1E">
      <w:pPr>
        <w:spacing w:after="0" w:line="240" w:lineRule="auto"/>
        <w:rPr>
          <w:rFonts w:ascii="Arial" w:hAnsi="Arial" w:cs="Arial"/>
          <w:color w:val="000000" w:themeColor="text1"/>
          <w:sz w:val="24"/>
          <w:szCs w:val="24"/>
        </w:rPr>
      </w:pPr>
    </w:p>
    <w:p w14:paraId="495F7638"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 xml:space="preserve">Any catering kitchen extract measures identified in the fire risk assessment, should have effective planning, organisation, control, monitoring and review.  For example, a fire risk assessment may highlight that access panels are required in the kitchen extract ducting and the responsible person would be required to plan, </w:t>
      </w:r>
      <w:proofErr w:type="gramStart"/>
      <w:r w:rsidRPr="00F92F1E">
        <w:rPr>
          <w:rFonts w:ascii="Arial" w:hAnsi="Arial" w:cs="Arial"/>
          <w:color w:val="000000" w:themeColor="text1"/>
          <w:sz w:val="24"/>
          <w:szCs w:val="24"/>
        </w:rPr>
        <w:t>organise</w:t>
      </w:r>
      <w:proofErr w:type="gramEnd"/>
      <w:r w:rsidRPr="00F92F1E">
        <w:rPr>
          <w:rFonts w:ascii="Arial" w:hAnsi="Arial" w:cs="Arial"/>
          <w:color w:val="000000" w:themeColor="text1"/>
          <w:sz w:val="24"/>
          <w:szCs w:val="24"/>
        </w:rPr>
        <w:t xml:space="preserve"> and control the fitting of the access panels by a qualified person(s).</w:t>
      </w:r>
    </w:p>
    <w:p w14:paraId="6E473116" w14:textId="77777777" w:rsidR="00F92F1E" w:rsidRPr="00F92F1E" w:rsidRDefault="00F92F1E" w:rsidP="00F92F1E">
      <w:pPr>
        <w:spacing w:after="0" w:line="240" w:lineRule="auto"/>
        <w:rPr>
          <w:rFonts w:ascii="Arial" w:hAnsi="Arial" w:cs="Arial"/>
          <w:color w:val="000000" w:themeColor="text1"/>
          <w:sz w:val="24"/>
          <w:szCs w:val="24"/>
        </w:rPr>
      </w:pPr>
    </w:p>
    <w:p w14:paraId="3C3304AA"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 xml:space="preserve">Whilst conducting an audit, the FPO may ask to see </w:t>
      </w:r>
      <w:hyperlink w:anchor="PostCleanRecord" w:history="1">
        <w:r w:rsidRPr="00F92F1E">
          <w:rPr>
            <w:rFonts w:ascii="Arial" w:hAnsi="Arial" w:cs="Arial"/>
            <w:color w:val="0000FF"/>
            <w:sz w:val="24"/>
            <w:szCs w:val="24"/>
            <w:u w:val="single"/>
          </w:rPr>
          <w:t>post-clean verification of cleanliness records</w:t>
        </w:r>
      </w:hyperlink>
      <w:r w:rsidRPr="00F92F1E">
        <w:rPr>
          <w:rFonts w:ascii="Arial" w:hAnsi="Arial" w:cs="Arial"/>
          <w:color w:val="000000" w:themeColor="text1"/>
          <w:sz w:val="24"/>
          <w:szCs w:val="24"/>
        </w:rPr>
        <w:t xml:space="preserve">.  No cleaning, or an ineffective cleaning regime of catering kitchen extract systems, is a risk of fire, and the risk of the spread of fire on the </w:t>
      </w:r>
      <w:proofErr w:type="gramStart"/>
      <w:r w:rsidRPr="00F92F1E">
        <w:rPr>
          <w:rFonts w:ascii="Arial" w:hAnsi="Arial" w:cs="Arial"/>
          <w:color w:val="000000" w:themeColor="text1"/>
          <w:sz w:val="24"/>
          <w:szCs w:val="24"/>
        </w:rPr>
        <w:t>premises, and</w:t>
      </w:r>
      <w:proofErr w:type="gramEnd"/>
      <w:r w:rsidRPr="00F92F1E">
        <w:rPr>
          <w:rFonts w:ascii="Arial" w:hAnsi="Arial" w:cs="Arial"/>
          <w:color w:val="000000" w:themeColor="text1"/>
          <w:sz w:val="24"/>
          <w:szCs w:val="24"/>
        </w:rPr>
        <w:t xml:space="preserve"> could also invalidate commercial liability/property insurance policies.  When carrying out Post Fire Audits, FPOs will determine if any highlighted uncleaned/inaccessible areas contained in the report were dealt with, as a failure to act on these highlighted issues could have increased the risk of fire and exacerbated the spread of fire.</w:t>
      </w:r>
    </w:p>
    <w:p w14:paraId="0C46C859" w14:textId="77777777" w:rsidR="00F92F1E" w:rsidRPr="00F92F1E" w:rsidRDefault="00F92F1E" w:rsidP="00F92F1E">
      <w:pPr>
        <w:spacing w:after="0" w:line="240" w:lineRule="auto"/>
        <w:rPr>
          <w:rFonts w:ascii="Arial" w:hAnsi="Arial" w:cs="Arial"/>
          <w:color w:val="000000" w:themeColor="text1"/>
          <w:sz w:val="24"/>
          <w:szCs w:val="24"/>
        </w:rPr>
      </w:pPr>
    </w:p>
    <w:p w14:paraId="1280C8F7" w14:textId="77777777" w:rsidR="00F92F1E" w:rsidRPr="00F92F1E" w:rsidRDefault="00F92F1E" w:rsidP="00F92F1E">
      <w:pPr>
        <w:spacing w:after="0" w:line="240" w:lineRule="auto"/>
        <w:rPr>
          <w:rFonts w:ascii="Arial" w:hAnsi="Arial" w:cs="Arial"/>
          <w:color w:val="000000" w:themeColor="text1"/>
          <w:sz w:val="24"/>
          <w:szCs w:val="24"/>
        </w:rPr>
      </w:pPr>
      <w:r w:rsidRPr="00F92F1E">
        <w:rPr>
          <w:rFonts w:ascii="Arial" w:hAnsi="Arial" w:cs="Arial"/>
          <w:color w:val="000000" w:themeColor="text1"/>
          <w:sz w:val="24"/>
          <w:szCs w:val="24"/>
        </w:rPr>
        <w:t xml:space="preserve">Some kitchen extract systems will pass through areas of the building where there could be shared cleaning responsibilities </w:t>
      </w:r>
      <w:proofErr w:type="gramStart"/>
      <w:r w:rsidRPr="00F92F1E">
        <w:rPr>
          <w:rFonts w:ascii="Arial" w:hAnsi="Arial" w:cs="Arial"/>
          <w:color w:val="000000" w:themeColor="text1"/>
          <w:sz w:val="24"/>
          <w:szCs w:val="24"/>
        </w:rPr>
        <w:t>e.g.</w:t>
      </w:r>
      <w:proofErr w:type="gramEnd"/>
      <w:r w:rsidRPr="00F92F1E">
        <w:rPr>
          <w:rFonts w:ascii="Arial" w:hAnsi="Arial" w:cs="Arial"/>
          <w:color w:val="000000" w:themeColor="text1"/>
          <w:sz w:val="24"/>
          <w:szCs w:val="24"/>
        </w:rPr>
        <w:t xml:space="preserve"> in a shopping mall where the restaurant’s extraction system travels into ductwork in an area that the building’s landlord/owner/managing agent has responsibility for.  It is important that when it comes to the cleaning of the ductwork, there is co-operation and co-ordination between the various responsible persons to ensure that all interior surfaces of the ductwork are cleaned at the same time, and not on different days/dates.</w:t>
      </w:r>
    </w:p>
    <w:p w14:paraId="71AA5BE8" w14:textId="77777777" w:rsidR="00F92F1E" w:rsidRPr="00F92F1E" w:rsidRDefault="00F92F1E" w:rsidP="00F92F1E">
      <w:pPr>
        <w:tabs>
          <w:tab w:val="left" w:pos="2248"/>
        </w:tabs>
        <w:spacing w:after="0" w:line="240" w:lineRule="auto"/>
        <w:jc w:val="both"/>
        <w:rPr>
          <w:rFonts w:ascii="Arial" w:eastAsia="Times New Roman" w:hAnsi="Arial" w:cs="Arial"/>
          <w:color w:val="000000" w:themeColor="text1"/>
          <w:sz w:val="24"/>
          <w:szCs w:val="24"/>
          <w:lang w:val="en" w:eastAsia="en-GB"/>
        </w:rPr>
      </w:pPr>
    </w:p>
    <w:p w14:paraId="2F94CB9E" w14:textId="77777777" w:rsidR="00F92F1E" w:rsidRPr="00F92F1E" w:rsidRDefault="00F92F1E" w:rsidP="00F92F1E">
      <w:pPr>
        <w:pStyle w:val="Heading1"/>
        <w:tabs>
          <w:tab w:val="left" w:pos="567"/>
        </w:tabs>
      </w:pPr>
      <w:bookmarkStart w:id="12" w:name="_Toc120299650"/>
      <w:r w:rsidRPr="00F92F1E">
        <w:t>5</w:t>
      </w:r>
      <w:r w:rsidRPr="00F92F1E">
        <w:tab/>
      </w:r>
      <w:proofErr w:type="gramStart"/>
      <w:r w:rsidRPr="00F92F1E">
        <w:t>BIBLIOGRAPHY</w:t>
      </w:r>
      <w:bookmarkEnd w:id="12"/>
      <w:proofErr w:type="gramEnd"/>
    </w:p>
    <w:tbl>
      <w:tblPr>
        <w:tblStyle w:val="TableGrid"/>
        <w:tblpPr w:leftFromText="180" w:rightFromText="180" w:vertAnchor="text" w:horzAnchor="margin" w:tblpY="192"/>
        <w:tblW w:w="0" w:type="auto"/>
        <w:tblLook w:val="04A0" w:firstRow="1" w:lastRow="0" w:firstColumn="1" w:lastColumn="0" w:noHBand="0" w:noVBand="1"/>
      </w:tblPr>
      <w:tblGrid>
        <w:gridCol w:w="4106"/>
        <w:gridCol w:w="5643"/>
      </w:tblGrid>
      <w:tr w:rsidR="00F92F1E" w:rsidRPr="00F92F1E" w14:paraId="2AC22BAA" w14:textId="77777777" w:rsidTr="008B729B">
        <w:tc>
          <w:tcPr>
            <w:tcW w:w="4106" w:type="dxa"/>
            <w:shd w:val="clear" w:color="auto" w:fill="E5DFEC" w:themeFill="accent4" w:themeFillTint="33"/>
            <w:vAlign w:val="center"/>
          </w:tcPr>
          <w:p w14:paraId="7A543B72" w14:textId="77777777" w:rsidR="00F92F1E" w:rsidRPr="00F92F1E" w:rsidRDefault="00F92F1E" w:rsidP="00F92F1E">
            <w:pPr>
              <w:jc w:val="both"/>
              <w:rPr>
                <w:rFonts w:ascii="Arial" w:hAnsi="Arial"/>
                <w:color w:val="000000" w:themeColor="text1"/>
                <w:sz w:val="24"/>
              </w:rPr>
            </w:pPr>
            <w:r w:rsidRPr="00F92F1E">
              <w:rPr>
                <w:rFonts w:ascii="Arial" w:eastAsia="Arial" w:hAnsi="Arial" w:cs="Arial"/>
                <w:b/>
                <w:color w:val="000000" w:themeColor="text1"/>
                <w:w w:val="105"/>
                <w:sz w:val="24"/>
                <w:lang w:eastAsia="en-GB" w:bidi="en-GB"/>
              </w:rPr>
              <w:t xml:space="preserve">Available from </w:t>
            </w:r>
          </w:p>
        </w:tc>
        <w:tc>
          <w:tcPr>
            <w:tcW w:w="5643" w:type="dxa"/>
            <w:shd w:val="clear" w:color="auto" w:fill="E5DFEC" w:themeFill="accent4" w:themeFillTint="33"/>
            <w:vAlign w:val="center"/>
          </w:tcPr>
          <w:p w14:paraId="0C797675" w14:textId="77777777" w:rsidR="00F92F1E" w:rsidRPr="00F92F1E" w:rsidRDefault="00F92F1E" w:rsidP="00F92F1E">
            <w:pPr>
              <w:jc w:val="both"/>
              <w:rPr>
                <w:rFonts w:ascii="Arial" w:hAnsi="Arial"/>
                <w:color w:val="000000" w:themeColor="text1"/>
                <w:sz w:val="24"/>
              </w:rPr>
            </w:pPr>
            <w:r w:rsidRPr="00F92F1E">
              <w:rPr>
                <w:rFonts w:ascii="Arial" w:eastAsia="Arial" w:hAnsi="Arial" w:cs="Arial"/>
                <w:b/>
                <w:color w:val="000000" w:themeColor="text1"/>
                <w:sz w:val="24"/>
                <w:lang w:eastAsia="en-GB" w:bidi="en-GB"/>
              </w:rPr>
              <w:t>Title</w:t>
            </w:r>
          </w:p>
        </w:tc>
      </w:tr>
      <w:tr w:rsidR="00F92F1E" w:rsidRPr="00F92F1E" w14:paraId="46C876C5" w14:textId="77777777" w:rsidTr="008B729B">
        <w:trPr>
          <w:trHeight w:val="839"/>
        </w:trPr>
        <w:tc>
          <w:tcPr>
            <w:tcW w:w="4106" w:type="dxa"/>
            <w:vMerge w:val="restart"/>
          </w:tcPr>
          <w:p w14:paraId="7611E555"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The Building and Engineering Services Association</w:t>
            </w:r>
          </w:p>
          <w:p w14:paraId="2797E025" w14:textId="77777777" w:rsidR="00F92F1E" w:rsidRPr="00F92F1E" w:rsidRDefault="00F92F1E" w:rsidP="00F92F1E">
            <w:pPr>
              <w:jc w:val="both"/>
              <w:rPr>
                <w:rFonts w:ascii="Arial" w:hAnsi="Arial" w:cs="Arial"/>
                <w:color w:val="000000" w:themeColor="text1"/>
                <w:sz w:val="24"/>
                <w:szCs w:val="24"/>
              </w:rPr>
            </w:pPr>
          </w:p>
          <w:p w14:paraId="087EC56F"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Address: 137-143 Hammersmith Road, London, W14 0QL</w:t>
            </w:r>
          </w:p>
          <w:p w14:paraId="0268EC93"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Phone: 020 73134900</w:t>
            </w:r>
          </w:p>
          <w:p w14:paraId="0E486E31"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 xml:space="preserve">Website: </w:t>
            </w:r>
            <w:hyperlink r:id="rId12" w:history="1">
              <w:r w:rsidRPr="00F92F1E">
                <w:rPr>
                  <w:rFonts w:ascii="Arial" w:hAnsi="Arial" w:cs="Arial"/>
                  <w:color w:val="0000FF"/>
                  <w:sz w:val="24"/>
                  <w:szCs w:val="24"/>
                  <w:u w:val="single"/>
                </w:rPr>
                <w:t>https://www.thebesa.com/</w:t>
              </w:r>
            </w:hyperlink>
            <w:r w:rsidRPr="00F92F1E">
              <w:rPr>
                <w:rFonts w:ascii="Arial" w:hAnsi="Arial" w:cs="Arial"/>
                <w:color w:val="000000" w:themeColor="text1"/>
                <w:sz w:val="24"/>
                <w:szCs w:val="24"/>
              </w:rPr>
              <w:t xml:space="preserve"> </w:t>
            </w:r>
          </w:p>
        </w:tc>
        <w:tc>
          <w:tcPr>
            <w:tcW w:w="5643" w:type="dxa"/>
            <w:vAlign w:val="center"/>
          </w:tcPr>
          <w:p w14:paraId="0BB7F66B"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The Building and Engineering Services Association</w:t>
            </w:r>
          </w:p>
          <w:p w14:paraId="2B751C39"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 xml:space="preserve">DW/172 Specification for Kitchen Ventilation Systems </w:t>
            </w:r>
          </w:p>
        </w:tc>
      </w:tr>
      <w:tr w:rsidR="00F92F1E" w:rsidRPr="00F92F1E" w14:paraId="2B993E10" w14:textId="77777777" w:rsidTr="008B729B">
        <w:trPr>
          <w:trHeight w:val="695"/>
        </w:trPr>
        <w:tc>
          <w:tcPr>
            <w:tcW w:w="4106" w:type="dxa"/>
            <w:vMerge/>
          </w:tcPr>
          <w:p w14:paraId="13814906" w14:textId="77777777" w:rsidR="00F92F1E" w:rsidRPr="00F92F1E" w:rsidRDefault="00F92F1E" w:rsidP="00F92F1E">
            <w:pPr>
              <w:jc w:val="both"/>
              <w:rPr>
                <w:rFonts w:ascii="Arial" w:hAnsi="Arial" w:cs="Arial"/>
                <w:color w:val="000000" w:themeColor="text1"/>
                <w:sz w:val="24"/>
                <w:szCs w:val="24"/>
              </w:rPr>
            </w:pPr>
          </w:p>
        </w:tc>
        <w:tc>
          <w:tcPr>
            <w:tcW w:w="5643" w:type="dxa"/>
            <w:vAlign w:val="center"/>
          </w:tcPr>
          <w:p w14:paraId="61DB1C68"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 xml:space="preserve">The Building and Engineering Services Association </w:t>
            </w:r>
          </w:p>
          <w:p w14:paraId="2DDDA896"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DW/144 Specification for Sheet Metal Ductwork</w:t>
            </w:r>
          </w:p>
        </w:tc>
      </w:tr>
      <w:tr w:rsidR="00F92F1E" w:rsidRPr="00F92F1E" w14:paraId="61EEDF57" w14:textId="77777777" w:rsidTr="008B729B">
        <w:trPr>
          <w:trHeight w:val="991"/>
        </w:trPr>
        <w:tc>
          <w:tcPr>
            <w:tcW w:w="4106" w:type="dxa"/>
            <w:vMerge/>
          </w:tcPr>
          <w:p w14:paraId="30EEAECD" w14:textId="77777777" w:rsidR="00F92F1E" w:rsidRPr="00F92F1E" w:rsidRDefault="00F92F1E" w:rsidP="00F92F1E">
            <w:pPr>
              <w:jc w:val="both"/>
              <w:rPr>
                <w:rFonts w:ascii="Arial" w:hAnsi="Arial" w:cs="Arial"/>
                <w:color w:val="000000" w:themeColor="text1"/>
                <w:sz w:val="24"/>
                <w:szCs w:val="24"/>
              </w:rPr>
            </w:pPr>
          </w:p>
        </w:tc>
        <w:tc>
          <w:tcPr>
            <w:tcW w:w="5643" w:type="dxa"/>
            <w:vAlign w:val="center"/>
          </w:tcPr>
          <w:p w14:paraId="4FB4B0C9"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The Building and Engineering Services Association guide to good practice TR/19 Internal Cleanliness of Ventilation Systems</w:t>
            </w:r>
          </w:p>
        </w:tc>
      </w:tr>
      <w:tr w:rsidR="00F92F1E" w:rsidRPr="00F92F1E" w14:paraId="003BDE26" w14:textId="77777777" w:rsidTr="008B729B">
        <w:trPr>
          <w:trHeight w:val="966"/>
        </w:trPr>
        <w:tc>
          <w:tcPr>
            <w:tcW w:w="4106" w:type="dxa"/>
            <w:vMerge/>
          </w:tcPr>
          <w:p w14:paraId="23FB0205" w14:textId="77777777" w:rsidR="00F92F1E" w:rsidRPr="00F92F1E" w:rsidRDefault="00F92F1E" w:rsidP="00F92F1E">
            <w:pPr>
              <w:jc w:val="both"/>
              <w:rPr>
                <w:rFonts w:ascii="Arial" w:hAnsi="Arial" w:cs="Arial"/>
                <w:color w:val="000000" w:themeColor="text1"/>
                <w:sz w:val="24"/>
                <w:szCs w:val="24"/>
              </w:rPr>
            </w:pPr>
          </w:p>
        </w:tc>
        <w:tc>
          <w:tcPr>
            <w:tcW w:w="5643" w:type="dxa"/>
            <w:vAlign w:val="center"/>
          </w:tcPr>
          <w:p w14:paraId="6F89457E"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The Insurer’s Fire Research Strategy document RC44 Recommendations for fire risk assessment of catering extract ventilation</w:t>
            </w:r>
          </w:p>
        </w:tc>
      </w:tr>
      <w:tr w:rsidR="00F92F1E" w:rsidRPr="00F92F1E" w14:paraId="02A1AA60" w14:textId="77777777" w:rsidTr="008B729B">
        <w:trPr>
          <w:trHeight w:val="993"/>
        </w:trPr>
        <w:tc>
          <w:tcPr>
            <w:tcW w:w="4106" w:type="dxa"/>
            <w:vMerge/>
          </w:tcPr>
          <w:p w14:paraId="13C61686" w14:textId="77777777" w:rsidR="00F92F1E" w:rsidRPr="00F92F1E" w:rsidRDefault="00F92F1E" w:rsidP="00F92F1E">
            <w:pPr>
              <w:jc w:val="both"/>
              <w:rPr>
                <w:rFonts w:ascii="Arial" w:hAnsi="Arial" w:cs="Arial"/>
                <w:color w:val="000000" w:themeColor="text1"/>
                <w:sz w:val="24"/>
                <w:szCs w:val="24"/>
              </w:rPr>
            </w:pPr>
          </w:p>
        </w:tc>
        <w:tc>
          <w:tcPr>
            <w:tcW w:w="5643" w:type="dxa"/>
            <w:vAlign w:val="center"/>
          </w:tcPr>
          <w:p w14:paraId="315AC76F"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Regulation (EC) No 852/2004 of the European Parliament and of The Council on the hygiene of foodstuffs Annex II, Chapter 1, paragraph 5</w:t>
            </w:r>
          </w:p>
        </w:tc>
      </w:tr>
      <w:tr w:rsidR="00F92F1E" w:rsidRPr="00F92F1E" w14:paraId="42520C5C" w14:textId="77777777" w:rsidTr="008B729B">
        <w:trPr>
          <w:trHeight w:val="2108"/>
        </w:trPr>
        <w:tc>
          <w:tcPr>
            <w:tcW w:w="4106" w:type="dxa"/>
          </w:tcPr>
          <w:p w14:paraId="0F11E1A5"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British Standards Institution (BSI)</w:t>
            </w:r>
          </w:p>
          <w:p w14:paraId="3C0A3655" w14:textId="77777777" w:rsidR="00F92F1E" w:rsidRPr="00F92F1E" w:rsidRDefault="00F92F1E" w:rsidP="00F92F1E">
            <w:pPr>
              <w:jc w:val="both"/>
              <w:rPr>
                <w:rFonts w:ascii="Arial" w:hAnsi="Arial" w:cs="Arial"/>
                <w:color w:val="000000" w:themeColor="text1"/>
                <w:sz w:val="24"/>
                <w:szCs w:val="24"/>
              </w:rPr>
            </w:pPr>
          </w:p>
          <w:p w14:paraId="6ED33EFB"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Address: 389 Chiswick High Road, Chiswick, London, W4 4AL</w:t>
            </w:r>
          </w:p>
          <w:p w14:paraId="392416CC"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Phone: 020 8996 9000</w:t>
            </w:r>
          </w:p>
          <w:p w14:paraId="388B7470"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 xml:space="preserve">Website: </w:t>
            </w:r>
            <w:hyperlink r:id="rId13" w:history="1">
              <w:r w:rsidRPr="00F92F1E">
                <w:rPr>
                  <w:rFonts w:ascii="Arial" w:hAnsi="Arial" w:cs="Arial"/>
                  <w:color w:val="0000FF"/>
                  <w:sz w:val="24"/>
                  <w:szCs w:val="24"/>
                  <w:u w:val="single"/>
                </w:rPr>
                <w:t>https://www.bsigroup.com/en-GB/</w:t>
              </w:r>
            </w:hyperlink>
            <w:r w:rsidRPr="00F92F1E">
              <w:rPr>
                <w:rFonts w:ascii="Arial" w:hAnsi="Arial" w:cs="Arial"/>
                <w:color w:val="000000" w:themeColor="text1"/>
                <w:sz w:val="24"/>
                <w:szCs w:val="24"/>
              </w:rPr>
              <w:t xml:space="preserve"> </w:t>
            </w:r>
          </w:p>
        </w:tc>
        <w:tc>
          <w:tcPr>
            <w:tcW w:w="5643" w:type="dxa"/>
          </w:tcPr>
          <w:p w14:paraId="58FECED8" w14:textId="77777777" w:rsidR="00F92F1E" w:rsidRPr="00F92F1E" w:rsidRDefault="00F92F1E" w:rsidP="00F92F1E">
            <w:pPr>
              <w:jc w:val="both"/>
              <w:rPr>
                <w:rFonts w:ascii="Arial" w:hAnsi="Arial" w:cs="Arial"/>
                <w:color w:val="000000" w:themeColor="text1"/>
                <w:sz w:val="24"/>
                <w:szCs w:val="24"/>
              </w:rPr>
            </w:pPr>
            <w:r w:rsidRPr="00F92F1E">
              <w:rPr>
                <w:rFonts w:ascii="Arial" w:hAnsi="Arial" w:cs="Arial"/>
                <w:color w:val="000000" w:themeColor="text1"/>
                <w:sz w:val="24"/>
                <w:szCs w:val="24"/>
              </w:rPr>
              <w:t>British Standards 476 Part 24</w:t>
            </w:r>
          </w:p>
        </w:tc>
      </w:tr>
    </w:tbl>
    <w:p w14:paraId="60B101BB" w14:textId="77777777" w:rsidR="00F92F1E" w:rsidRPr="00F92F1E" w:rsidRDefault="00F92F1E" w:rsidP="00F92F1E">
      <w:pPr>
        <w:spacing w:after="0" w:line="240" w:lineRule="auto"/>
        <w:jc w:val="both"/>
        <w:rPr>
          <w:rFonts w:ascii="Arial" w:hAnsi="Arial" w:cs="Arial"/>
          <w:color w:val="000000" w:themeColor="text1"/>
          <w:w w:val="95"/>
          <w:sz w:val="24"/>
          <w:szCs w:val="24"/>
        </w:rPr>
      </w:pPr>
      <w:r w:rsidRPr="00F92F1E">
        <w:rPr>
          <w:rFonts w:ascii="Arial" w:hAnsi="Arial" w:cs="Arial"/>
          <w:color w:val="000000" w:themeColor="text1"/>
          <w:sz w:val="24"/>
          <w:szCs w:val="24"/>
        </w:rPr>
        <w:t>Additional information is available on the Fire Gateway (</w:t>
      </w:r>
      <w:hyperlink r:id="rId14" w:history="1">
        <w:r w:rsidRPr="00F92F1E">
          <w:rPr>
            <w:rFonts w:ascii="Arial" w:hAnsi="Arial" w:cs="Arial"/>
            <w:color w:val="0000FF"/>
            <w:sz w:val="24"/>
            <w:szCs w:val="24"/>
            <w:u w:val="single"/>
          </w:rPr>
          <w:t>www.fire.gov.uk</w:t>
        </w:r>
      </w:hyperlink>
      <w:r w:rsidRPr="00F92F1E">
        <w:rPr>
          <w:rFonts w:ascii="Arial" w:hAnsi="Arial" w:cs="Arial"/>
          <w:color w:val="000000" w:themeColor="text1"/>
          <w:sz w:val="24"/>
          <w:szCs w:val="24"/>
        </w:rPr>
        <w:t xml:space="preserve">), a national website providing access to related information as well as links to all Fire and Rescue Services and the Communities and Local Government website: </w:t>
      </w:r>
      <w:hyperlink r:id="rId15" w:history="1">
        <w:r w:rsidRPr="00F92F1E">
          <w:rPr>
            <w:rFonts w:ascii="Arial" w:hAnsi="Arial" w:cs="Arial"/>
            <w:color w:val="0000FF"/>
            <w:sz w:val="24"/>
            <w:szCs w:val="24"/>
            <w:u w:val="single"/>
          </w:rPr>
          <w:t>www.communities.gov.uk/fire/</w:t>
        </w:r>
      </w:hyperlink>
      <w:r w:rsidRPr="00F92F1E">
        <w:rPr>
          <w:rFonts w:ascii="Arial" w:hAnsi="Arial" w:cs="Arial"/>
          <w:color w:val="000000" w:themeColor="text1"/>
          <w:sz w:val="24"/>
          <w:szCs w:val="24"/>
        </w:rPr>
        <w:t xml:space="preserve"> </w:t>
      </w:r>
    </w:p>
    <w:p w14:paraId="00D534DD" w14:textId="77777777" w:rsidR="00F92F1E" w:rsidRDefault="00F92F1E">
      <w:pPr>
        <w:rPr>
          <w:rFonts w:ascii="Arial" w:eastAsiaTheme="majorEastAsia" w:hAnsi="Arial" w:cstheme="majorBidi"/>
          <w:b/>
          <w:caps/>
          <w:color w:val="000000" w:themeColor="text1"/>
          <w:sz w:val="24"/>
          <w:szCs w:val="32"/>
        </w:rPr>
      </w:pPr>
      <w:r>
        <w:rPr>
          <w:rFonts w:ascii="Arial" w:eastAsiaTheme="majorEastAsia" w:hAnsi="Arial" w:cstheme="majorBidi"/>
          <w:b/>
          <w:caps/>
          <w:color w:val="000000" w:themeColor="text1"/>
          <w:sz w:val="24"/>
          <w:szCs w:val="32"/>
        </w:rPr>
        <w:br w:type="page"/>
      </w:r>
    </w:p>
    <w:p w14:paraId="019C5AC0" w14:textId="3E593F11" w:rsidR="00F92F1E" w:rsidRPr="00F92F1E" w:rsidRDefault="00F92F1E" w:rsidP="00F92F1E">
      <w:pPr>
        <w:pStyle w:val="Heading1"/>
        <w:ind w:left="720" w:firstLine="720"/>
        <w:jc w:val="right"/>
      </w:pPr>
      <w:bookmarkStart w:id="13" w:name="_Toc120299651"/>
      <w:r w:rsidRPr="00F92F1E">
        <w:t>APPENDIX A</w:t>
      </w:r>
      <w:bookmarkEnd w:id="13"/>
    </w:p>
    <w:p w14:paraId="665215DF" w14:textId="77777777" w:rsidR="00F92F1E" w:rsidRPr="00F92F1E" w:rsidRDefault="00F92F1E" w:rsidP="00F92F1E">
      <w:pPr>
        <w:pStyle w:val="Heading1"/>
      </w:pPr>
      <w:bookmarkStart w:id="14" w:name="_DIAGRAM_OF_A"/>
      <w:bookmarkStart w:id="15" w:name="_Toc52191098"/>
      <w:bookmarkStart w:id="16" w:name="_Toc120299652"/>
      <w:bookmarkEnd w:id="14"/>
      <w:r w:rsidRPr="00F92F1E">
        <w:t>DIAGRAM OF A CATERING KITCHEN EXTRACT SYSTEM</w:t>
      </w:r>
      <w:bookmarkEnd w:id="15"/>
      <w:bookmarkEnd w:id="16"/>
    </w:p>
    <w:p w14:paraId="761DE699" w14:textId="77777777" w:rsidR="00F92F1E" w:rsidRPr="00F92F1E" w:rsidRDefault="00F92F1E" w:rsidP="00F92F1E">
      <w:pPr>
        <w:spacing w:after="0" w:line="240" w:lineRule="auto"/>
        <w:jc w:val="both"/>
        <w:rPr>
          <w:rFonts w:ascii="Arial" w:hAnsi="Arial"/>
          <w:color w:val="000000" w:themeColor="text1"/>
          <w:sz w:val="24"/>
        </w:rPr>
      </w:pPr>
    </w:p>
    <w:p w14:paraId="74247809" w14:textId="77777777" w:rsidR="00F92F1E" w:rsidRPr="00F92F1E" w:rsidRDefault="00F92F1E" w:rsidP="00F92F1E">
      <w:pPr>
        <w:spacing w:after="0" w:line="240" w:lineRule="auto"/>
        <w:jc w:val="both"/>
        <w:rPr>
          <w:rFonts w:ascii="Arial" w:hAnsi="Arial"/>
          <w:color w:val="000000" w:themeColor="text1"/>
          <w:sz w:val="24"/>
        </w:rPr>
      </w:pPr>
      <w:r w:rsidRPr="00F92F1E">
        <w:rPr>
          <w:rFonts w:ascii="Arial" w:hAnsi="Arial"/>
          <w:noProof/>
          <w:color w:val="000000" w:themeColor="text1"/>
          <w:sz w:val="24"/>
          <w:lang w:eastAsia="en-GB"/>
        </w:rPr>
        <w:drawing>
          <wp:anchor distT="0" distB="0" distL="0" distR="0" simplePos="0" relativeHeight="251659264" behindDoc="1" locked="0" layoutInCell="1" allowOverlap="1" wp14:anchorId="3DBA9144" wp14:editId="6F506C93">
            <wp:simplePos x="0" y="0"/>
            <wp:positionH relativeFrom="margin">
              <wp:posOffset>420881</wp:posOffset>
            </wp:positionH>
            <wp:positionV relativeFrom="paragraph">
              <wp:posOffset>6581</wp:posOffset>
            </wp:positionV>
            <wp:extent cx="5450205" cy="7771765"/>
            <wp:effectExtent l="0" t="0" r="0" b="635"/>
            <wp:wrapTight wrapText="bothSides">
              <wp:wrapPolygon edited="0">
                <wp:start x="0" y="0"/>
                <wp:lineTo x="0" y="21549"/>
                <wp:lineTo x="21517" y="21549"/>
                <wp:lineTo x="21517" y="0"/>
                <wp:lineTo x="0" y="0"/>
              </wp:wrapPolygon>
            </wp:wrapTight>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5450205" cy="7771765"/>
                    </a:xfrm>
                    <a:prstGeom prst="rect">
                      <a:avLst/>
                    </a:prstGeom>
                  </pic:spPr>
                </pic:pic>
              </a:graphicData>
            </a:graphic>
            <wp14:sizeRelH relativeFrom="margin">
              <wp14:pctWidth>0</wp14:pctWidth>
            </wp14:sizeRelH>
            <wp14:sizeRelV relativeFrom="margin">
              <wp14:pctHeight>0</wp14:pctHeight>
            </wp14:sizeRelV>
          </wp:anchor>
        </w:drawing>
      </w:r>
    </w:p>
    <w:p w14:paraId="361DE63C" w14:textId="77777777" w:rsidR="00F92F1E" w:rsidRPr="00F92F1E" w:rsidRDefault="00F92F1E" w:rsidP="00F92F1E">
      <w:pPr>
        <w:spacing w:after="0" w:line="240" w:lineRule="auto"/>
        <w:jc w:val="both"/>
        <w:rPr>
          <w:rFonts w:ascii="Arial" w:hAnsi="Arial"/>
          <w:color w:val="000000" w:themeColor="text1"/>
          <w:sz w:val="24"/>
        </w:rPr>
      </w:pPr>
    </w:p>
    <w:p w14:paraId="3416541B" w14:textId="77777777" w:rsidR="00F92F1E" w:rsidRPr="00F92F1E" w:rsidRDefault="00F92F1E" w:rsidP="00F92F1E">
      <w:pPr>
        <w:tabs>
          <w:tab w:val="left" w:pos="2248"/>
        </w:tabs>
        <w:spacing w:after="0" w:line="240" w:lineRule="auto"/>
        <w:jc w:val="both"/>
        <w:rPr>
          <w:rFonts w:ascii="Arial" w:eastAsia="Times New Roman" w:hAnsi="Arial" w:cs="Arial"/>
          <w:color w:val="000000" w:themeColor="text1"/>
          <w:sz w:val="24"/>
          <w:szCs w:val="24"/>
          <w:lang w:val="en" w:eastAsia="en-GB"/>
        </w:rPr>
      </w:pPr>
    </w:p>
    <w:p w14:paraId="57A54E26"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7BB3E670"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3F9C4056"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685D0193"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5312588A"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01DB94CE"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5FE8612D"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70E4D9FB"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168B72D7"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7EC150EF"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594ACED1"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25ED1AA5"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1423E2F1"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3FC5F777"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28B367C0"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059FEA39"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62E94C65"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2B24A7AB"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384110F4"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33344592"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775DBF36"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627D7E44"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0361D617" w14:textId="77777777" w:rsidR="00F92F1E" w:rsidRPr="00F92F1E" w:rsidRDefault="00F92F1E" w:rsidP="00F92F1E">
      <w:pPr>
        <w:spacing w:after="0" w:line="240" w:lineRule="auto"/>
        <w:jc w:val="both"/>
        <w:rPr>
          <w:rFonts w:ascii="Arial" w:eastAsia="Times New Roman" w:hAnsi="Arial" w:cs="Arial"/>
          <w:color w:val="000000" w:themeColor="text1"/>
          <w:sz w:val="24"/>
          <w:szCs w:val="24"/>
          <w:lang w:val="en" w:eastAsia="en-GB"/>
        </w:rPr>
      </w:pPr>
    </w:p>
    <w:p w14:paraId="5B5EEC99" w14:textId="77777777" w:rsidR="00F92F1E" w:rsidRPr="00F92F1E" w:rsidRDefault="00F92F1E" w:rsidP="00F92F1E">
      <w:pPr>
        <w:keepNext/>
        <w:keepLines/>
        <w:spacing w:after="0" w:line="240" w:lineRule="auto"/>
        <w:jc w:val="right"/>
        <w:outlineLvl w:val="0"/>
        <w:rPr>
          <w:rFonts w:ascii="Arial" w:eastAsia="Times New Roman" w:hAnsi="Arial" w:cstheme="majorBidi"/>
          <w:b/>
          <w:caps/>
          <w:color w:val="000000" w:themeColor="text1"/>
          <w:sz w:val="24"/>
          <w:szCs w:val="32"/>
          <w:lang w:val="en" w:eastAsia="en-GB"/>
        </w:rPr>
      </w:pPr>
    </w:p>
    <w:p w14:paraId="63A784EB" w14:textId="77777777" w:rsidR="00F92F1E" w:rsidRPr="00F92F1E" w:rsidRDefault="00F92F1E" w:rsidP="00F92F1E">
      <w:pPr>
        <w:keepNext/>
        <w:keepLines/>
        <w:spacing w:after="0" w:line="240" w:lineRule="auto"/>
        <w:jc w:val="right"/>
        <w:outlineLvl w:val="0"/>
        <w:rPr>
          <w:rFonts w:ascii="Arial" w:eastAsia="Times New Roman" w:hAnsi="Arial" w:cstheme="majorBidi"/>
          <w:b/>
          <w:caps/>
          <w:color w:val="000000" w:themeColor="text1"/>
          <w:sz w:val="24"/>
          <w:szCs w:val="32"/>
          <w:lang w:val="en" w:eastAsia="en-GB"/>
        </w:rPr>
      </w:pPr>
    </w:p>
    <w:p w14:paraId="2CA31552" w14:textId="77777777" w:rsidR="00F92F1E" w:rsidRPr="00F92F1E" w:rsidRDefault="00F92F1E" w:rsidP="00F92F1E">
      <w:pPr>
        <w:keepNext/>
        <w:keepLines/>
        <w:spacing w:after="0" w:line="240" w:lineRule="auto"/>
        <w:jc w:val="right"/>
        <w:outlineLvl w:val="0"/>
        <w:rPr>
          <w:rFonts w:ascii="Arial" w:eastAsia="Times New Roman" w:hAnsi="Arial" w:cstheme="majorBidi"/>
          <w:b/>
          <w:caps/>
          <w:color w:val="000000" w:themeColor="text1"/>
          <w:sz w:val="24"/>
          <w:szCs w:val="32"/>
          <w:lang w:val="en" w:eastAsia="en-GB"/>
        </w:rPr>
      </w:pPr>
    </w:p>
    <w:p w14:paraId="0775BE7D" w14:textId="77777777" w:rsidR="00F92F1E" w:rsidRPr="00F92F1E" w:rsidRDefault="00F92F1E" w:rsidP="00F92F1E">
      <w:pPr>
        <w:keepNext/>
        <w:keepLines/>
        <w:spacing w:after="0" w:line="240" w:lineRule="auto"/>
        <w:jc w:val="right"/>
        <w:outlineLvl w:val="0"/>
        <w:rPr>
          <w:rFonts w:ascii="Arial" w:eastAsia="Times New Roman" w:hAnsi="Arial" w:cstheme="majorBidi"/>
          <w:b/>
          <w:caps/>
          <w:color w:val="000000" w:themeColor="text1"/>
          <w:sz w:val="24"/>
          <w:szCs w:val="32"/>
          <w:lang w:val="en" w:eastAsia="en-GB"/>
        </w:rPr>
      </w:pPr>
    </w:p>
    <w:p w14:paraId="4B1970C4"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2A07E140"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0B592A1F"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76B1A0E1"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1775CBBB"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1D157F4E"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5CC199EB"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0A3AAA43"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07A2704F"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7DBB415D"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13C7959B"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6AC328DB"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5C0359AF"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07947FA5"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66F19416"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5CCB0434"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736D3486"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3F84FFA0"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6C4F7C35" w14:textId="77777777" w:rsidR="00F92F1E" w:rsidRPr="00F92F1E" w:rsidRDefault="00F92F1E" w:rsidP="00F92F1E">
      <w:pPr>
        <w:spacing w:after="0" w:line="240" w:lineRule="auto"/>
        <w:jc w:val="both"/>
        <w:rPr>
          <w:rFonts w:ascii="Arial" w:hAnsi="Arial"/>
          <w:color w:val="000000" w:themeColor="text1"/>
          <w:sz w:val="24"/>
          <w:lang w:val="en" w:eastAsia="en-GB"/>
        </w:rPr>
      </w:pPr>
    </w:p>
    <w:p w14:paraId="405CEA5A" w14:textId="77777777" w:rsidR="00F92F1E" w:rsidRPr="00F92F1E" w:rsidRDefault="00F92F1E" w:rsidP="00F92F1E">
      <w:pPr>
        <w:pStyle w:val="Heading1"/>
        <w:jc w:val="right"/>
        <w:rPr>
          <w:rFonts w:eastAsia="Times New Roman"/>
          <w:lang w:val="en" w:eastAsia="en-GB"/>
        </w:rPr>
      </w:pPr>
      <w:bookmarkStart w:id="17" w:name="_Toc120299653"/>
      <w:r w:rsidRPr="00F92F1E">
        <w:rPr>
          <w:rFonts w:eastAsia="Times New Roman"/>
          <w:lang w:val="en" w:eastAsia="en-GB"/>
        </w:rPr>
        <w:t>APPENDIX B</w:t>
      </w:r>
      <w:bookmarkEnd w:id="17"/>
    </w:p>
    <w:p w14:paraId="47974427" w14:textId="77777777" w:rsidR="00F92F1E" w:rsidRPr="00F92F1E" w:rsidRDefault="00F92F1E" w:rsidP="00F92F1E">
      <w:pPr>
        <w:pStyle w:val="Heading1"/>
        <w:rPr>
          <w:lang w:val="en" w:eastAsia="en-GB"/>
        </w:rPr>
      </w:pPr>
      <w:bookmarkStart w:id="18" w:name="_Toc52191100"/>
      <w:bookmarkStart w:id="19" w:name="_Toc120299654"/>
      <w:r w:rsidRPr="00F92F1E">
        <w:rPr>
          <w:lang w:val="en" w:eastAsia="en-GB"/>
        </w:rPr>
        <w:t>CATERING KITCHEN EXTRACT SYSTEM AIDE-MEMOIRE</w:t>
      </w:r>
      <w:bookmarkEnd w:id="18"/>
      <w:bookmarkEnd w:id="19"/>
    </w:p>
    <w:p w14:paraId="111E749F" w14:textId="77777777" w:rsidR="00F92F1E" w:rsidRPr="00F92F1E" w:rsidRDefault="00F92F1E" w:rsidP="00F92F1E">
      <w:pPr>
        <w:spacing w:after="0" w:line="240" w:lineRule="auto"/>
        <w:rPr>
          <w:rFonts w:ascii="Arial" w:hAnsi="Arial"/>
          <w:color w:val="000000" w:themeColor="text1"/>
          <w:sz w:val="24"/>
          <w:lang w:val="en" w:eastAsia="en-GB"/>
        </w:rPr>
      </w:pPr>
    </w:p>
    <w:p w14:paraId="586CB32E" w14:textId="77777777" w:rsidR="00F92F1E" w:rsidRPr="00F92F1E" w:rsidRDefault="00F92F1E" w:rsidP="00F92F1E">
      <w:pPr>
        <w:spacing w:after="0" w:line="240" w:lineRule="auto"/>
        <w:rPr>
          <w:rFonts w:ascii="Arial" w:hAnsi="Arial"/>
          <w:color w:val="000000" w:themeColor="text1"/>
          <w:sz w:val="24"/>
          <w:lang w:val="en" w:eastAsia="en-GB"/>
        </w:rPr>
      </w:pPr>
      <w:r w:rsidRPr="00F92F1E">
        <w:rPr>
          <w:rFonts w:ascii="Arial" w:hAnsi="Arial"/>
          <w:color w:val="000000" w:themeColor="text1"/>
          <w:sz w:val="24"/>
          <w:lang w:val="en" w:eastAsia="en-GB"/>
        </w:rPr>
        <w:t xml:space="preserve">Has the catering kitchen’s fire risk assessment fully assessed the hazards/risks in the kitchen, and was RC44 used by the risk assessor? (See </w:t>
      </w:r>
      <w:hyperlink w:anchor="Note1" w:history="1">
        <w:r w:rsidRPr="00F92F1E">
          <w:rPr>
            <w:rFonts w:ascii="Arial" w:hAnsi="Arial"/>
            <w:color w:val="0000FF"/>
            <w:sz w:val="24"/>
            <w:u w:val="single"/>
            <w:lang w:val="en" w:eastAsia="en-GB"/>
          </w:rPr>
          <w:t>note 1</w:t>
        </w:r>
      </w:hyperlink>
      <w:r w:rsidRPr="00F92F1E">
        <w:rPr>
          <w:rFonts w:ascii="Arial" w:hAnsi="Arial"/>
          <w:color w:val="000000" w:themeColor="text1"/>
          <w:sz w:val="24"/>
          <w:lang w:val="en" w:eastAsia="en-GB"/>
        </w:rPr>
        <w:t xml:space="preserve"> for RC44 information)</w:t>
      </w:r>
    </w:p>
    <w:p w14:paraId="5D22C71F" w14:textId="77777777" w:rsidR="00F92F1E" w:rsidRPr="00F92F1E" w:rsidRDefault="00F92F1E" w:rsidP="00F92F1E">
      <w:pPr>
        <w:numPr>
          <w:ilvl w:val="0"/>
          <w:numId w:val="15"/>
        </w:numPr>
        <w:spacing w:after="0" w:line="240" w:lineRule="auto"/>
        <w:ind w:left="567" w:hanging="283"/>
        <w:contextualSpacing/>
        <w:rPr>
          <w:rFonts w:ascii="Arial" w:hAnsi="Arial"/>
          <w:color w:val="000000" w:themeColor="text1"/>
          <w:sz w:val="24"/>
          <w:lang w:val="en" w:eastAsia="en-GB"/>
        </w:rPr>
      </w:pPr>
      <w:r w:rsidRPr="00F92F1E">
        <w:rPr>
          <w:rFonts w:ascii="Arial" w:hAnsi="Arial"/>
          <w:noProof/>
          <w:color w:val="000000" w:themeColor="text1"/>
          <w:sz w:val="24"/>
          <w:lang w:eastAsia="en-GB"/>
        </w:rPr>
        <w:drawing>
          <wp:anchor distT="0" distB="0" distL="0" distR="0" simplePos="0" relativeHeight="251662336" behindDoc="0" locked="0" layoutInCell="1" allowOverlap="1" wp14:anchorId="3EDBDFD2" wp14:editId="7B622E9F">
            <wp:simplePos x="0" y="0"/>
            <wp:positionH relativeFrom="page">
              <wp:posOffset>6259640</wp:posOffset>
            </wp:positionH>
            <wp:positionV relativeFrom="paragraph">
              <wp:posOffset>1604281</wp:posOffset>
            </wp:positionV>
            <wp:extent cx="847375" cy="923544"/>
            <wp:effectExtent l="0" t="0" r="0" b="0"/>
            <wp:wrapTopAndBottom/>
            <wp:docPr id="10"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847375" cy="923544"/>
                    </a:xfrm>
                    <a:prstGeom prst="rect">
                      <a:avLst/>
                    </a:prstGeom>
                  </pic:spPr>
                </pic:pic>
              </a:graphicData>
            </a:graphic>
          </wp:anchor>
        </w:drawing>
      </w:r>
      <w:r w:rsidRPr="00F92F1E">
        <w:rPr>
          <w:rFonts w:ascii="Arial" w:hAnsi="Arial"/>
          <w:noProof/>
          <w:color w:val="000000" w:themeColor="text1"/>
          <w:sz w:val="24"/>
          <w:lang w:eastAsia="en-GB"/>
        </w:rPr>
        <w:drawing>
          <wp:anchor distT="0" distB="0" distL="0" distR="0" simplePos="0" relativeHeight="251661312" behindDoc="0" locked="0" layoutInCell="1" allowOverlap="1" wp14:anchorId="1A6F2943" wp14:editId="00A38745">
            <wp:simplePos x="0" y="0"/>
            <wp:positionH relativeFrom="page">
              <wp:posOffset>5025010</wp:posOffset>
            </wp:positionH>
            <wp:positionV relativeFrom="paragraph">
              <wp:posOffset>1596522</wp:posOffset>
            </wp:positionV>
            <wp:extent cx="923642" cy="933164"/>
            <wp:effectExtent l="0" t="0" r="0" b="0"/>
            <wp:wrapTopAndBottom/>
            <wp:docPr id="7"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923642" cy="933164"/>
                    </a:xfrm>
                    <a:prstGeom prst="rect">
                      <a:avLst/>
                    </a:prstGeom>
                  </pic:spPr>
                </pic:pic>
              </a:graphicData>
            </a:graphic>
          </wp:anchor>
        </w:drawing>
      </w:r>
      <w:r w:rsidRPr="00F92F1E">
        <w:rPr>
          <w:rFonts w:ascii="Arial" w:hAnsi="Arial"/>
          <w:noProof/>
          <w:color w:val="000000" w:themeColor="text1"/>
          <w:sz w:val="24"/>
          <w:lang w:eastAsia="en-GB"/>
        </w:rPr>
        <w:drawing>
          <wp:anchor distT="0" distB="0" distL="0" distR="0" simplePos="0" relativeHeight="251660288" behindDoc="0" locked="0" layoutInCell="1" allowOverlap="1" wp14:anchorId="3E4503DD" wp14:editId="1C891F23">
            <wp:simplePos x="0" y="0"/>
            <wp:positionH relativeFrom="margin">
              <wp:align>left</wp:align>
            </wp:positionH>
            <wp:positionV relativeFrom="paragraph">
              <wp:posOffset>285618</wp:posOffset>
            </wp:positionV>
            <wp:extent cx="3835400" cy="2282825"/>
            <wp:effectExtent l="0" t="0" r="0" b="3175"/>
            <wp:wrapTopAndBottom/>
            <wp:docPr id="6"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3835400" cy="2282825"/>
                    </a:xfrm>
                    <a:prstGeom prst="rect">
                      <a:avLst/>
                    </a:prstGeom>
                  </pic:spPr>
                </pic:pic>
              </a:graphicData>
            </a:graphic>
            <wp14:sizeRelH relativeFrom="margin">
              <wp14:pctWidth>0</wp14:pctWidth>
            </wp14:sizeRelH>
            <wp14:sizeRelV relativeFrom="margin">
              <wp14:pctHeight>0</wp14:pctHeight>
            </wp14:sizeRelV>
          </wp:anchor>
        </w:drawing>
      </w:r>
      <w:r w:rsidRPr="00F92F1E">
        <w:rPr>
          <w:rFonts w:ascii="Arial" w:hAnsi="Arial"/>
          <w:color w:val="000000" w:themeColor="text1"/>
          <w:sz w:val="24"/>
          <w:lang w:val="en" w:eastAsia="en-GB"/>
        </w:rPr>
        <w:t>Are grease filters fitted and are they regularly cleaned and maintained?</w:t>
      </w:r>
    </w:p>
    <w:p w14:paraId="1A3DE12E" w14:textId="77777777" w:rsidR="00F92F1E" w:rsidRPr="00F92F1E" w:rsidRDefault="00F92F1E" w:rsidP="00F92F1E">
      <w:pPr>
        <w:spacing w:after="0" w:line="240" w:lineRule="auto"/>
        <w:rPr>
          <w:rFonts w:ascii="Arial" w:hAnsi="Arial"/>
          <w:color w:val="000000" w:themeColor="text1"/>
          <w:sz w:val="24"/>
          <w:lang w:val="en" w:eastAsia="en-GB"/>
        </w:rPr>
      </w:pPr>
      <w:r w:rsidRPr="00F92F1E">
        <w:rPr>
          <w:rFonts w:ascii="Arial" w:hAnsi="Arial"/>
          <w:color w:val="000000" w:themeColor="text1"/>
          <w:sz w:val="24"/>
          <w:lang w:val="en" w:eastAsia="en-GB"/>
        </w:rPr>
        <w:t>Basic diagram of kitchen ducting systems</w:t>
      </w:r>
      <w:r w:rsidRPr="00F92F1E">
        <w:rPr>
          <w:rFonts w:ascii="Arial" w:hAnsi="Arial"/>
          <w:color w:val="000000" w:themeColor="text1"/>
          <w:sz w:val="24"/>
          <w:lang w:val="en" w:eastAsia="en-GB"/>
        </w:rPr>
        <w:tab/>
      </w:r>
      <w:r w:rsidRPr="00F92F1E">
        <w:rPr>
          <w:rFonts w:ascii="Arial" w:hAnsi="Arial"/>
          <w:color w:val="000000" w:themeColor="text1"/>
          <w:sz w:val="24"/>
          <w:lang w:val="en" w:eastAsia="en-GB"/>
        </w:rPr>
        <w:tab/>
      </w:r>
      <w:r w:rsidRPr="00F92F1E">
        <w:rPr>
          <w:rFonts w:ascii="Arial" w:hAnsi="Arial"/>
          <w:color w:val="000000" w:themeColor="text1"/>
          <w:sz w:val="24"/>
          <w:lang w:val="en" w:eastAsia="en-GB"/>
        </w:rPr>
        <w:tab/>
        <w:t xml:space="preserve">   Mesh filter           Baffle filter</w:t>
      </w:r>
    </w:p>
    <w:p w14:paraId="52F47149" w14:textId="77777777" w:rsidR="00F92F1E" w:rsidRPr="00F92F1E" w:rsidRDefault="00F92F1E" w:rsidP="00F92F1E">
      <w:pPr>
        <w:spacing w:after="0" w:line="240" w:lineRule="auto"/>
        <w:rPr>
          <w:rFonts w:ascii="Arial" w:hAnsi="Arial"/>
          <w:color w:val="000000" w:themeColor="text1"/>
          <w:sz w:val="24"/>
          <w:lang w:val="en" w:eastAsia="en-GB"/>
        </w:rPr>
      </w:pPr>
    </w:p>
    <w:p w14:paraId="06AAD39E" w14:textId="77777777" w:rsidR="00F92F1E" w:rsidRPr="00F92F1E" w:rsidRDefault="00F92F1E" w:rsidP="00F92F1E">
      <w:pPr>
        <w:spacing w:after="0" w:line="240" w:lineRule="auto"/>
        <w:rPr>
          <w:rFonts w:ascii="Arial" w:hAnsi="Arial"/>
          <w:color w:val="000000" w:themeColor="text1"/>
          <w:sz w:val="24"/>
          <w:lang w:val="en" w:eastAsia="en-GB"/>
        </w:rPr>
      </w:pPr>
      <w:r w:rsidRPr="00F92F1E">
        <w:rPr>
          <w:rFonts w:ascii="Arial" w:hAnsi="Arial"/>
          <w:color w:val="000000" w:themeColor="text1"/>
          <w:sz w:val="24"/>
          <w:lang w:val="en" w:eastAsia="en-GB"/>
        </w:rPr>
        <w:t>Mesh filters have no flame protection.  It is recommended that baffle filters are fitted for all cooking styles involving oils and grease (modifications to existing ducting system may be required).</w:t>
      </w:r>
    </w:p>
    <w:p w14:paraId="6284FC8F" w14:textId="77777777" w:rsidR="00F92F1E" w:rsidRPr="00F92F1E" w:rsidRDefault="00F92F1E" w:rsidP="00F92F1E">
      <w:pPr>
        <w:numPr>
          <w:ilvl w:val="0"/>
          <w:numId w:val="15"/>
        </w:numPr>
        <w:spacing w:after="0" w:line="240" w:lineRule="auto"/>
        <w:ind w:left="567" w:hanging="283"/>
        <w:contextualSpacing/>
        <w:rPr>
          <w:rFonts w:ascii="Arial" w:hAnsi="Arial"/>
          <w:color w:val="000000" w:themeColor="text1"/>
          <w:sz w:val="24"/>
          <w:lang w:val="en" w:eastAsia="en-GB"/>
        </w:rPr>
      </w:pPr>
      <w:r w:rsidRPr="00F92F1E">
        <w:rPr>
          <w:rFonts w:ascii="Arial" w:hAnsi="Arial"/>
          <w:noProof/>
          <w:color w:val="000000" w:themeColor="text1"/>
          <w:sz w:val="24"/>
          <w:lang w:eastAsia="en-GB"/>
        </w:rPr>
        <w:drawing>
          <wp:anchor distT="0" distB="0" distL="0" distR="0" simplePos="0" relativeHeight="251663360" behindDoc="0" locked="0" layoutInCell="1" allowOverlap="1" wp14:anchorId="5FBF0A08" wp14:editId="537C369D">
            <wp:simplePos x="0" y="0"/>
            <wp:positionH relativeFrom="page">
              <wp:posOffset>2766060</wp:posOffset>
            </wp:positionH>
            <wp:positionV relativeFrom="paragraph">
              <wp:posOffset>256540</wp:posOffset>
            </wp:positionV>
            <wp:extent cx="1092200" cy="1092200"/>
            <wp:effectExtent l="0" t="0" r="0" b="0"/>
            <wp:wrapTopAndBottom/>
            <wp:docPr id="11" name="image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092200" cy="1092200"/>
                    </a:xfrm>
                    <a:prstGeom prst="rect">
                      <a:avLst/>
                    </a:prstGeom>
                  </pic:spPr>
                </pic:pic>
              </a:graphicData>
            </a:graphic>
            <wp14:sizeRelH relativeFrom="margin">
              <wp14:pctWidth>0</wp14:pctWidth>
            </wp14:sizeRelH>
            <wp14:sizeRelV relativeFrom="margin">
              <wp14:pctHeight>0</wp14:pctHeight>
            </wp14:sizeRelV>
          </wp:anchor>
        </w:drawing>
      </w:r>
      <w:r w:rsidRPr="00F92F1E">
        <w:rPr>
          <w:rFonts w:ascii="Arial" w:hAnsi="Arial"/>
          <w:noProof/>
          <w:color w:val="000000" w:themeColor="text1"/>
          <w:sz w:val="24"/>
          <w:lang w:eastAsia="en-GB"/>
        </w:rPr>
        <w:drawing>
          <wp:anchor distT="0" distB="0" distL="0" distR="0" simplePos="0" relativeHeight="251664384" behindDoc="0" locked="0" layoutInCell="1" allowOverlap="1" wp14:anchorId="34890EBF" wp14:editId="5F481384">
            <wp:simplePos x="0" y="0"/>
            <wp:positionH relativeFrom="page">
              <wp:posOffset>4298051</wp:posOffset>
            </wp:positionH>
            <wp:positionV relativeFrom="paragraph">
              <wp:posOffset>255905</wp:posOffset>
            </wp:positionV>
            <wp:extent cx="1294130" cy="1054735"/>
            <wp:effectExtent l="0" t="0" r="1270" b="0"/>
            <wp:wrapTopAndBottom/>
            <wp:docPr id="13" name="image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294130" cy="1054735"/>
                    </a:xfrm>
                    <a:prstGeom prst="rect">
                      <a:avLst/>
                    </a:prstGeom>
                  </pic:spPr>
                </pic:pic>
              </a:graphicData>
            </a:graphic>
            <wp14:sizeRelH relativeFrom="margin">
              <wp14:pctWidth>0</wp14:pctWidth>
            </wp14:sizeRelH>
            <wp14:sizeRelV relativeFrom="margin">
              <wp14:pctHeight>0</wp14:pctHeight>
            </wp14:sizeRelV>
          </wp:anchor>
        </w:drawing>
      </w:r>
      <w:r w:rsidRPr="00F92F1E">
        <w:rPr>
          <w:rFonts w:ascii="Arial" w:hAnsi="Arial"/>
          <w:color w:val="000000" w:themeColor="text1"/>
          <w:sz w:val="24"/>
          <w:lang w:val="en" w:eastAsia="en-GB"/>
        </w:rPr>
        <w:t>Are access panels fitted throughout the whole length of the ducting system?</w:t>
      </w:r>
    </w:p>
    <w:p w14:paraId="22D9E194" w14:textId="77777777" w:rsidR="00F92F1E" w:rsidRPr="00F92F1E" w:rsidRDefault="00F92F1E" w:rsidP="00F92F1E">
      <w:pPr>
        <w:numPr>
          <w:ilvl w:val="0"/>
          <w:numId w:val="16"/>
        </w:numPr>
        <w:spacing w:after="0" w:line="240" w:lineRule="auto"/>
        <w:ind w:left="567" w:hanging="283"/>
        <w:rPr>
          <w:rFonts w:ascii="Arial" w:hAnsi="Arial"/>
          <w:color w:val="000000" w:themeColor="text1"/>
          <w:sz w:val="24"/>
          <w:lang w:val="en" w:eastAsia="en-GB" w:bidi="en-GB"/>
        </w:rPr>
      </w:pPr>
      <w:r w:rsidRPr="00F92F1E">
        <w:rPr>
          <w:rFonts w:ascii="Arial" w:hAnsi="Arial"/>
          <w:color w:val="000000" w:themeColor="text1"/>
          <w:sz w:val="24"/>
          <w:lang w:val="en" w:eastAsia="en-GB" w:bidi="en-GB"/>
        </w:rPr>
        <w:t>Access panels should be fitted at a maximum of 3 metre centers throughout the whole ducting system, and/or at each change of direction, where head and shoulder access is possible for cleaning purposes.</w:t>
      </w:r>
    </w:p>
    <w:p w14:paraId="1BAFA643" w14:textId="77777777" w:rsidR="00F92F1E" w:rsidRPr="00F92F1E" w:rsidRDefault="00F92F1E" w:rsidP="00F92F1E">
      <w:pPr>
        <w:numPr>
          <w:ilvl w:val="0"/>
          <w:numId w:val="16"/>
        </w:numPr>
        <w:spacing w:after="0" w:line="240" w:lineRule="auto"/>
        <w:ind w:left="567" w:hanging="283"/>
        <w:rPr>
          <w:rFonts w:ascii="Arial" w:hAnsi="Arial"/>
          <w:color w:val="000000" w:themeColor="text1"/>
          <w:sz w:val="24"/>
          <w:lang w:val="en" w:eastAsia="en-GB" w:bidi="en-GB"/>
        </w:rPr>
      </w:pPr>
      <w:r w:rsidRPr="00F92F1E">
        <w:rPr>
          <w:rFonts w:ascii="Arial" w:hAnsi="Arial"/>
          <w:color w:val="000000" w:themeColor="text1"/>
          <w:sz w:val="24"/>
          <w:lang w:val="en" w:eastAsia="en-GB" w:bidi="en-GB"/>
        </w:rPr>
        <w:t xml:space="preserve">How often is the whole ducting cleaned? (See </w:t>
      </w:r>
      <w:hyperlink w:anchor="Note2" w:history="1">
        <w:r w:rsidRPr="00F92F1E">
          <w:rPr>
            <w:rFonts w:ascii="Arial" w:hAnsi="Arial"/>
            <w:color w:val="0000FF"/>
            <w:sz w:val="24"/>
            <w:u w:val="single"/>
            <w:lang w:val="en" w:eastAsia="en-GB" w:bidi="en-GB"/>
          </w:rPr>
          <w:t>note 2</w:t>
        </w:r>
      </w:hyperlink>
      <w:r w:rsidRPr="00F92F1E">
        <w:rPr>
          <w:rFonts w:ascii="Arial" w:hAnsi="Arial"/>
          <w:color w:val="000000" w:themeColor="text1"/>
          <w:sz w:val="24"/>
          <w:lang w:val="en" w:eastAsia="en-GB" w:bidi="en-GB"/>
        </w:rPr>
        <w:t xml:space="preserve"> for frequency of cleaning)</w:t>
      </w:r>
    </w:p>
    <w:p w14:paraId="3C8A145C" w14:textId="77777777" w:rsidR="00F92F1E" w:rsidRPr="00F92F1E" w:rsidRDefault="00F92F1E" w:rsidP="00F92F1E">
      <w:pPr>
        <w:numPr>
          <w:ilvl w:val="0"/>
          <w:numId w:val="16"/>
        </w:numPr>
        <w:spacing w:after="0" w:line="240" w:lineRule="auto"/>
        <w:ind w:left="567" w:hanging="283"/>
        <w:rPr>
          <w:rFonts w:ascii="Arial" w:hAnsi="Arial"/>
          <w:color w:val="000000" w:themeColor="text1"/>
          <w:sz w:val="24"/>
          <w:lang w:val="en" w:eastAsia="en-GB" w:bidi="en-GB"/>
        </w:rPr>
      </w:pPr>
      <w:r w:rsidRPr="00F92F1E">
        <w:rPr>
          <w:rFonts w:ascii="Arial" w:hAnsi="Arial"/>
          <w:color w:val="000000" w:themeColor="text1"/>
          <w:sz w:val="24"/>
          <w:lang w:val="en" w:eastAsia="en-GB" w:bidi="en-GB"/>
        </w:rPr>
        <w:t>After cleaning the ducting, do the cleaning contractors produce a report? (</w:t>
      </w:r>
      <w:hyperlink w:anchor="PostCleanRecord" w:history="1">
        <w:r w:rsidRPr="00F92F1E">
          <w:rPr>
            <w:rFonts w:ascii="Arial" w:hAnsi="Arial"/>
            <w:color w:val="0000FF"/>
            <w:sz w:val="24"/>
            <w:u w:val="single"/>
            <w:lang w:val="en" w:eastAsia="en-GB" w:bidi="en-GB"/>
          </w:rPr>
          <w:t>post-clean verification of cleanliness</w:t>
        </w:r>
      </w:hyperlink>
      <w:r w:rsidRPr="00F92F1E">
        <w:rPr>
          <w:rFonts w:ascii="Arial" w:hAnsi="Arial"/>
          <w:color w:val="000000" w:themeColor="text1"/>
          <w:sz w:val="24"/>
          <w:lang w:val="en" w:eastAsia="en-GB" w:bidi="en-GB"/>
        </w:rPr>
        <w:t xml:space="preserve"> for report details)</w:t>
      </w:r>
    </w:p>
    <w:p w14:paraId="183BD3DB" w14:textId="77777777" w:rsidR="00F92F1E" w:rsidRPr="00F92F1E" w:rsidRDefault="00F92F1E" w:rsidP="00F92F1E">
      <w:pPr>
        <w:numPr>
          <w:ilvl w:val="0"/>
          <w:numId w:val="16"/>
        </w:numPr>
        <w:spacing w:after="0" w:line="240" w:lineRule="auto"/>
        <w:ind w:left="567" w:hanging="283"/>
        <w:rPr>
          <w:rFonts w:ascii="Arial" w:hAnsi="Arial"/>
          <w:color w:val="000000" w:themeColor="text1"/>
          <w:sz w:val="24"/>
          <w:lang w:val="en" w:eastAsia="en-GB" w:bidi="en-GB"/>
        </w:rPr>
      </w:pPr>
      <w:r w:rsidRPr="00F92F1E">
        <w:rPr>
          <w:rFonts w:ascii="Arial" w:hAnsi="Arial"/>
          <w:color w:val="000000" w:themeColor="text1"/>
          <w:sz w:val="24"/>
          <w:lang w:val="en" w:eastAsia="en-GB" w:bidi="en-GB"/>
        </w:rPr>
        <w:t>It is the duty of the responsible person to highlight any inaccessible/un-cleaned areas to their insurer or other relevant third party, such as a landlord.</w:t>
      </w:r>
    </w:p>
    <w:p w14:paraId="4A3B4882" w14:textId="77777777" w:rsidR="00F92F1E" w:rsidRPr="00F92F1E" w:rsidRDefault="00F92F1E" w:rsidP="00F92F1E">
      <w:pPr>
        <w:numPr>
          <w:ilvl w:val="0"/>
          <w:numId w:val="16"/>
        </w:numPr>
        <w:spacing w:after="0" w:line="240" w:lineRule="auto"/>
        <w:ind w:left="567" w:hanging="283"/>
        <w:rPr>
          <w:rFonts w:ascii="Arial" w:hAnsi="Arial"/>
          <w:color w:val="000000" w:themeColor="text1"/>
          <w:sz w:val="24"/>
          <w:lang w:val="en" w:eastAsia="en-GB" w:bidi="en-GB"/>
        </w:rPr>
      </w:pPr>
      <w:r w:rsidRPr="00F92F1E">
        <w:rPr>
          <w:rFonts w:ascii="Arial" w:hAnsi="Arial"/>
          <w:color w:val="000000" w:themeColor="text1"/>
          <w:sz w:val="24"/>
          <w:lang w:val="en" w:eastAsia="en-GB" w:bidi="en-GB"/>
        </w:rPr>
        <w:t>Is the discharge duct (ductwork ending) away from emergency exits, combustible building cladding/roof coverings and openings into the building?  Many fires are spread beyond the discharge point of the ductwork, due to radiant heat igniting combustible materials.</w:t>
      </w:r>
    </w:p>
    <w:p w14:paraId="5F5975CC" w14:textId="77777777" w:rsidR="00F92F1E" w:rsidRPr="00F92F1E" w:rsidRDefault="00F92F1E" w:rsidP="00F92F1E">
      <w:pPr>
        <w:spacing w:after="0" w:line="240" w:lineRule="auto"/>
        <w:rPr>
          <w:rFonts w:ascii="Arial" w:hAnsi="Arial"/>
          <w:b/>
          <w:color w:val="000000" w:themeColor="text1"/>
          <w:sz w:val="24"/>
          <w:lang w:val="en" w:eastAsia="en-GB" w:bidi="en-GB"/>
        </w:rPr>
      </w:pPr>
      <w:bookmarkStart w:id="20" w:name="Note1"/>
      <w:bookmarkEnd w:id="20"/>
    </w:p>
    <w:p w14:paraId="0608F365" w14:textId="77777777" w:rsidR="00F92F1E" w:rsidRPr="00F92F1E" w:rsidRDefault="00F92F1E" w:rsidP="00F92F1E">
      <w:pPr>
        <w:spacing w:after="0" w:line="240" w:lineRule="auto"/>
        <w:rPr>
          <w:rFonts w:ascii="Arial" w:hAnsi="Arial"/>
          <w:color w:val="000000" w:themeColor="text1"/>
          <w:sz w:val="24"/>
          <w:lang w:val="en" w:eastAsia="en-GB" w:bidi="en-GB"/>
        </w:rPr>
      </w:pPr>
      <w:r w:rsidRPr="00F92F1E">
        <w:rPr>
          <w:rFonts w:ascii="Arial" w:hAnsi="Arial"/>
          <w:b/>
          <w:color w:val="000000" w:themeColor="text1"/>
          <w:sz w:val="24"/>
          <w:lang w:val="en" w:eastAsia="en-GB" w:bidi="en-GB"/>
        </w:rPr>
        <w:t xml:space="preserve">Note 1 </w:t>
      </w:r>
      <w:r w:rsidRPr="00F92F1E">
        <w:rPr>
          <w:rFonts w:ascii="Arial" w:hAnsi="Arial"/>
          <w:color w:val="000000" w:themeColor="text1"/>
          <w:sz w:val="24"/>
          <w:lang w:val="en" w:eastAsia="en-GB" w:bidi="en-GB"/>
        </w:rPr>
        <w:t xml:space="preserve">- RC44 Recommendations for fire risk assessment of catering extract ventilation, is a document developed through the Insurers’ Fire Research Strategy that contains explanation and guidance on extract ventilation in catering </w:t>
      </w:r>
      <w:proofErr w:type="gramStart"/>
      <w:r w:rsidRPr="00F92F1E">
        <w:rPr>
          <w:rFonts w:ascii="Arial" w:hAnsi="Arial"/>
          <w:color w:val="000000" w:themeColor="text1"/>
          <w:sz w:val="24"/>
          <w:lang w:val="en" w:eastAsia="en-GB" w:bidi="en-GB"/>
        </w:rPr>
        <w:t>kitchens, and</w:t>
      </w:r>
      <w:proofErr w:type="gramEnd"/>
      <w:r w:rsidRPr="00F92F1E">
        <w:rPr>
          <w:rFonts w:ascii="Arial" w:hAnsi="Arial"/>
          <w:color w:val="000000" w:themeColor="text1"/>
          <w:sz w:val="24"/>
          <w:lang w:val="en" w:eastAsia="en-GB" w:bidi="en-GB"/>
        </w:rPr>
        <w:t xml:space="preserve"> is aimed at the person responsible for ensuring that a fire risk assessment is carried out at the premises.</w:t>
      </w:r>
    </w:p>
    <w:p w14:paraId="41F7E1DB" w14:textId="0A9D0C15" w:rsidR="00EF0AAF" w:rsidRPr="00F92F1E" w:rsidRDefault="00F92F1E" w:rsidP="00F92F1E">
      <w:pPr>
        <w:spacing w:after="0" w:line="240" w:lineRule="auto"/>
      </w:pPr>
      <w:bookmarkStart w:id="21" w:name="Note2"/>
      <w:bookmarkEnd w:id="21"/>
      <w:r w:rsidRPr="00F92F1E">
        <w:rPr>
          <w:rFonts w:ascii="Arial" w:hAnsi="Arial"/>
          <w:b/>
          <w:color w:val="000000" w:themeColor="text1"/>
          <w:sz w:val="24"/>
          <w:lang w:val="en" w:eastAsia="en-GB" w:bidi="en-GB"/>
        </w:rPr>
        <w:t>Note 2 -</w:t>
      </w:r>
      <w:r w:rsidRPr="00F92F1E">
        <w:rPr>
          <w:rFonts w:ascii="Arial" w:hAnsi="Arial"/>
          <w:color w:val="000000" w:themeColor="text1"/>
          <w:sz w:val="24"/>
          <w:lang w:val="en" w:eastAsia="en-GB" w:bidi="en-GB"/>
        </w:rPr>
        <w:t xml:space="preserve"> The Building and Engineering Services Association guide TR/19 Internal Cleanliness of Ventilation Systems.</w:t>
      </w:r>
    </w:p>
    <w:sectPr w:rsidR="00EF0AAF" w:rsidRPr="00F92F1E" w:rsidSect="00127260">
      <w:headerReference w:type="default" r:id="rId22"/>
      <w:footerReference w:type="default" r:id="rId23"/>
      <w:pgSz w:w="11906" w:h="16838"/>
      <w:pgMar w:top="1418" w:right="707" w:bottom="851" w:left="1440" w:header="397"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A0C7" w14:textId="77777777" w:rsidR="003F3071" w:rsidRDefault="003F3071" w:rsidP="00B42BE2">
      <w:pPr>
        <w:spacing w:after="0" w:line="240" w:lineRule="auto"/>
      </w:pPr>
      <w:r>
        <w:separator/>
      </w:r>
    </w:p>
  </w:endnote>
  <w:endnote w:type="continuationSeparator" w:id="0">
    <w:p w14:paraId="020EA0C8" w14:textId="77777777" w:rsidR="003F3071" w:rsidRDefault="003F3071" w:rsidP="00B4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A0CA" w14:textId="5921A91B" w:rsidR="003F3071" w:rsidRPr="00CF1DB9" w:rsidRDefault="00F92F1E" w:rsidP="00CF1DB9">
    <w:pPr>
      <w:pStyle w:val="Footer"/>
      <w:tabs>
        <w:tab w:val="clear" w:pos="9026"/>
        <w:tab w:val="right" w:pos="9759"/>
      </w:tabs>
      <w:rPr>
        <w:rFonts w:ascii="Arial" w:hAnsi="Arial" w:cs="Arial"/>
        <w:sz w:val="20"/>
        <w:szCs w:val="20"/>
      </w:rPr>
    </w:pPr>
    <w:r>
      <w:rPr>
        <w:rFonts w:ascii="Arial" w:hAnsi="Arial" w:cs="Arial"/>
        <w:sz w:val="20"/>
        <w:szCs w:val="20"/>
      </w:rPr>
      <w:t>September 2020</w:t>
    </w:r>
    <w:r w:rsidR="00CF1DB9" w:rsidRPr="00CF1DB9">
      <w:rPr>
        <w:rFonts w:ascii="Arial" w:hAnsi="Arial" w:cs="Arial"/>
        <w:sz w:val="20"/>
        <w:szCs w:val="20"/>
      </w:rPr>
      <w:t xml:space="preserve"> – v1.0</w:t>
    </w:r>
    <w:r w:rsidR="00CF1DB9" w:rsidRPr="00CF1DB9">
      <w:rPr>
        <w:rFonts w:ascii="Arial" w:hAnsi="Arial" w:cs="Arial"/>
        <w:sz w:val="20"/>
        <w:szCs w:val="20"/>
      </w:rPr>
      <w:tab/>
    </w:r>
    <w:r w:rsidR="00CF1DB9" w:rsidRPr="00CF1DB9">
      <w:rPr>
        <w:rFonts w:ascii="Arial" w:hAnsi="Arial" w:cs="Arial"/>
        <w:sz w:val="20"/>
        <w:szCs w:val="20"/>
      </w:rPr>
      <w:tab/>
    </w:r>
    <w:sdt>
      <w:sdtPr>
        <w:rPr>
          <w:rFonts w:ascii="Arial" w:hAnsi="Arial" w:cs="Arial"/>
          <w:sz w:val="20"/>
          <w:szCs w:val="20"/>
        </w:rPr>
        <w:id w:val="-52448674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CF1DB9" w:rsidRPr="00CF1DB9">
              <w:rPr>
                <w:rFonts w:ascii="Arial" w:hAnsi="Arial" w:cs="Arial"/>
                <w:sz w:val="20"/>
                <w:szCs w:val="20"/>
              </w:rPr>
              <w:t xml:space="preserve">Page </w:t>
            </w:r>
            <w:r w:rsidR="00CF1DB9" w:rsidRPr="00CF1DB9">
              <w:rPr>
                <w:rFonts w:ascii="Arial" w:hAnsi="Arial" w:cs="Arial"/>
                <w:b/>
                <w:bCs/>
                <w:sz w:val="20"/>
                <w:szCs w:val="20"/>
              </w:rPr>
              <w:fldChar w:fldCharType="begin"/>
            </w:r>
            <w:r w:rsidR="00CF1DB9" w:rsidRPr="00CF1DB9">
              <w:rPr>
                <w:rFonts w:ascii="Arial" w:hAnsi="Arial" w:cs="Arial"/>
                <w:b/>
                <w:bCs/>
                <w:sz w:val="20"/>
                <w:szCs w:val="20"/>
              </w:rPr>
              <w:instrText xml:space="preserve"> PAGE </w:instrText>
            </w:r>
            <w:r w:rsidR="00CF1DB9" w:rsidRPr="00CF1DB9">
              <w:rPr>
                <w:rFonts w:ascii="Arial" w:hAnsi="Arial" w:cs="Arial"/>
                <w:b/>
                <w:bCs/>
                <w:sz w:val="20"/>
                <w:szCs w:val="20"/>
              </w:rPr>
              <w:fldChar w:fldCharType="separate"/>
            </w:r>
            <w:r w:rsidR="00FC2D7F">
              <w:rPr>
                <w:rFonts w:ascii="Arial" w:hAnsi="Arial" w:cs="Arial"/>
                <w:b/>
                <w:bCs/>
                <w:noProof/>
                <w:sz w:val="20"/>
                <w:szCs w:val="20"/>
              </w:rPr>
              <w:t>1</w:t>
            </w:r>
            <w:r w:rsidR="00CF1DB9" w:rsidRPr="00CF1DB9">
              <w:rPr>
                <w:rFonts w:ascii="Arial" w:hAnsi="Arial" w:cs="Arial"/>
                <w:b/>
                <w:bCs/>
                <w:sz w:val="20"/>
                <w:szCs w:val="20"/>
              </w:rPr>
              <w:fldChar w:fldCharType="end"/>
            </w:r>
            <w:r w:rsidR="00CF1DB9" w:rsidRPr="00CF1DB9">
              <w:rPr>
                <w:rFonts w:ascii="Arial" w:hAnsi="Arial" w:cs="Arial"/>
                <w:sz w:val="20"/>
                <w:szCs w:val="20"/>
              </w:rPr>
              <w:t xml:space="preserve"> of </w:t>
            </w:r>
            <w:r w:rsidR="00CF1DB9" w:rsidRPr="00CF1DB9">
              <w:rPr>
                <w:rFonts w:ascii="Arial" w:hAnsi="Arial" w:cs="Arial"/>
                <w:b/>
                <w:bCs/>
                <w:sz w:val="20"/>
                <w:szCs w:val="20"/>
              </w:rPr>
              <w:fldChar w:fldCharType="begin"/>
            </w:r>
            <w:r w:rsidR="00CF1DB9" w:rsidRPr="00CF1DB9">
              <w:rPr>
                <w:rFonts w:ascii="Arial" w:hAnsi="Arial" w:cs="Arial"/>
                <w:b/>
                <w:bCs/>
                <w:sz w:val="20"/>
                <w:szCs w:val="20"/>
              </w:rPr>
              <w:instrText xml:space="preserve"> NUMPAGES  </w:instrText>
            </w:r>
            <w:r w:rsidR="00CF1DB9" w:rsidRPr="00CF1DB9">
              <w:rPr>
                <w:rFonts w:ascii="Arial" w:hAnsi="Arial" w:cs="Arial"/>
                <w:b/>
                <w:bCs/>
                <w:sz w:val="20"/>
                <w:szCs w:val="20"/>
              </w:rPr>
              <w:fldChar w:fldCharType="separate"/>
            </w:r>
            <w:r w:rsidR="00FC2D7F">
              <w:rPr>
                <w:rFonts w:ascii="Arial" w:hAnsi="Arial" w:cs="Arial"/>
                <w:b/>
                <w:bCs/>
                <w:noProof/>
                <w:sz w:val="20"/>
                <w:szCs w:val="20"/>
              </w:rPr>
              <w:t>1</w:t>
            </w:r>
            <w:r w:rsidR="00CF1DB9" w:rsidRPr="00CF1DB9">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A0C5" w14:textId="77777777" w:rsidR="003F3071" w:rsidRDefault="003F3071" w:rsidP="00B42BE2">
      <w:pPr>
        <w:spacing w:after="0" w:line="240" w:lineRule="auto"/>
      </w:pPr>
      <w:r>
        <w:separator/>
      </w:r>
    </w:p>
  </w:footnote>
  <w:footnote w:type="continuationSeparator" w:id="0">
    <w:p w14:paraId="020EA0C6" w14:textId="77777777" w:rsidR="003F3071" w:rsidRDefault="003F3071" w:rsidP="00B4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A0C9" w14:textId="4944B4DD" w:rsidR="003F3071" w:rsidRDefault="007706FC" w:rsidP="00B42BE2">
    <w:pPr>
      <w:pStyle w:val="Header"/>
      <w:tabs>
        <w:tab w:val="clear" w:pos="9026"/>
        <w:tab w:val="left" w:pos="451"/>
        <w:tab w:val="left" w:pos="1540"/>
        <w:tab w:val="left" w:pos="7626"/>
        <w:tab w:val="right" w:pos="9759"/>
      </w:tabs>
    </w:pPr>
    <w:r w:rsidRPr="00CF4CC9">
      <w:rPr>
        <w:rFonts w:eastAsia="Times New Roman" w:cs="Arial"/>
        <w:b/>
        <w:noProof/>
        <w:sz w:val="28"/>
        <w:szCs w:val="28"/>
        <w:lang w:eastAsia="en-GB"/>
      </w:rPr>
      <mc:AlternateContent>
        <mc:Choice Requires="wps">
          <w:drawing>
            <wp:anchor distT="0" distB="0" distL="114300" distR="114300" simplePos="0" relativeHeight="251662336" behindDoc="1" locked="1" layoutInCell="1" allowOverlap="1" wp14:anchorId="6BDB6F27" wp14:editId="798D9C20">
              <wp:simplePos x="0" y="0"/>
              <wp:positionH relativeFrom="column">
                <wp:posOffset>-666750</wp:posOffset>
              </wp:positionH>
              <wp:positionV relativeFrom="page">
                <wp:posOffset>933450</wp:posOffset>
              </wp:positionV>
              <wp:extent cx="561975" cy="9610725"/>
              <wp:effectExtent l="0" t="0" r="28575" b="28575"/>
              <wp:wrapTight wrapText="bothSides">
                <wp:wrapPolygon edited="0">
                  <wp:start x="0" y="0"/>
                  <wp:lineTo x="0" y="21621"/>
                  <wp:lineTo x="21966" y="21621"/>
                  <wp:lineTo x="21966" y="0"/>
                  <wp:lineTo x="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961072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3500000" scaled="1"/>
                        <a:tileRect/>
                      </a:gradFill>
                      <a:ln w="9525">
                        <a:solidFill>
                          <a:srgbClr val="FF0000"/>
                        </a:solidFill>
                        <a:miter lim="800000"/>
                        <a:headEnd/>
                        <a:tailEnd/>
                      </a:ln>
                    </wps:spPr>
                    <wps:txbx>
                      <w:txbxContent>
                        <w:p w14:paraId="42476D9B" w14:textId="2420DA8A" w:rsidR="007706FC" w:rsidRPr="0009611A" w:rsidRDefault="00F92F1E" w:rsidP="007706FC">
                          <w:pPr>
                            <w:spacing w:after="0" w:line="240" w:lineRule="auto"/>
                            <w:jc w:val="center"/>
                            <w:rPr>
                              <w:rFonts w:ascii="Arial" w:hAnsi="Arial" w:cs="Arial"/>
                              <w:i/>
                              <w:sz w:val="32"/>
                              <w:szCs w:val="32"/>
                              <w:lang w:val="en-US"/>
                            </w:rPr>
                          </w:pPr>
                          <w:r>
                            <w:rPr>
                              <w:rFonts w:ascii="Arial" w:hAnsi="Arial" w:cs="Arial"/>
                              <w:i/>
                              <w:color w:val="FFFFFF" w:themeColor="background1"/>
                              <w:sz w:val="32"/>
                              <w:szCs w:val="32"/>
                              <w:lang w:val="en-US"/>
                            </w:rPr>
                            <w:t>Catering kitchen extract systems guidance</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6F27" id="_x0000_t202" coordsize="21600,21600" o:spt="202" path="m,l,21600r21600,l21600,xe">
              <v:stroke joinstyle="miter"/>
              <v:path gradientshapeok="t" o:connecttype="rect"/>
            </v:shapetype>
            <v:shape id="Text Box 2" o:spid="_x0000_s1026" type="#_x0000_t202" alt="&quot;&quot;" style="position:absolute;margin-left:-52.5pt;margin-top:73.5pt;width:44.25pt;height:75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" fillcolor="#a00000" strokecolor="red">
              <v:fill color2="red" rotate="t" angle="225" colors="0 #a00000;.5 #e60000;1 red" focus="100%" type="gradient"/>
              <v:textbox style="layout-flow:vertical;mso-layout-flow-alt:bottom-to-top">
                <w:txbxContent>
                  <w:p w14:paraId="42476D9B" w14:textId="2420DA8A" w:rsidR="007706FC" w:rsidRPr="0009611A" w:rsidRDefault="00F92F1E" w:rsidP="007706FC">
                    <w:pPr>
                      <w:spacing w:after="0" w:line="240" w:lineRule="auto"/>
                      <w:jc w:val="center"/>
                      <w:rPr>
                        <w:rFonts w:ascii="Arial" w:hAnsi="Arial" w:cs="Arial"/>
                        <w:i/>
                        <w:sz w:val="32"/>
                        <w:szCs w:val="32"/>
                        <w:lang w:val="en-US"/>
                      </w:rPr>
                    </w:pPr>
                    <w:r>
                      <w:rPr>
                        <w:rFonts w:ascii="Arial" w:hAnsi="Arial" w:cs="Arial"/>
                        <w:i/>
                        <w:color w:val="FFFFFF" w:themeColor="background1"/>
                        <w:sz w:val="32"/>
                        <w:szCs w:val="32"/>
                        <w:lang w:val="en-US"/>
                      </w:rPr>
                      <w:t>Catering kitchen extract systems guidance</w:t>
                    </w:r>
                  </w:p>
                </w:txbxContent>
              </v:textbox>
              <w10:wrap type="tight" anchory="page"/>
              <w10:anchorlock/>
            </v:shape>
          </w:pict>
        </mc:Fallback>
      </mc:AlternateContent>
    </w:r>
    <w:r w:rsidRPr="007706FC">
      <w:rPr>
        <w:noProof/>
        <w:lang w:eastAsia="en-GB"/>
      </w:rPr>
      <mc:AlternateContent>
        <mc:Choice Requires="wps">
          <w:drawing>
            <wp:anchor distT="0" distB="0" distL="114300" distR="114300" simplePos="0" relativeHeight="251660288" behindDoc="0" locked="0" layoutInCell="1" allowOverlap="1" wp14:anchorId="7A50A659" wp14:editId="48AB7E6C">
              <wp:simplePos x="0" y="0"/>
              <wp:positionH relativeFrom="column">
                <wp:posOffset>19050</wp:posOffset>
              </wp:positionH>
              <wp:positionV relativeFrom="paragraph">
                <wp:posOffset>-61595</wp:posOffset>
              </wp:positionV>
              <wp:extent cx="2513848" cy="5334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848" cy="533400"/>
                      </a:xfrm>
                      <a:prstGeom prst="rect">
                        <a:avLst/>
                      </a:prstGeom>
                      <a:noFill/>
                      <a:ln w="9525">
                        <a:noFill/>
                        <a:miter lim="800000"/>
                        <a:headEnd/>
                        <a:tailEnd/>
                      </a:ln>
                    </wps:spPr>
                    <wps:txbx>
                      <w:txbxContent>
                        <w:p w14:paraId="08EFD7EE" w14:textId="77777777" w:rsidR="007706FC" w:rsidRPr="0009611A" w:rsidRDefault="007706FC" w:rsidP="007706FC">
                          <w:pPr>
                            <w:spacing w:after="0" w:line="240" w:lineRule="auto"/>
                            <w:rPr>
                              <w:rFonts w:ascii="Arial" w:hAnsi="Arial" w:cs="Arial"/>
                              <w:b/>
                              <w:color w:val="FFFFFF" w:themeColor="background1"/>
                              <w:sz w:val="32"/>
                              <w:szCs w:val="32"/>
                            </w:rPr>
                          </w:pPr>
                          <w:r w:rsidRPr="0009611A">
                            <w:rPr>
                              <w:rFonts w:ascii="Arial" w:hAnsi="Arial" w:cs="Arial"/>
                              <w:b/>
                              <w:color w:val="FFFFFF" w:themeColor="background1"/>
                              <w:sz w:val="32"/>
                              <w:szCs w:val="32"/>
                            </w:rPr>
                            <w:t xml:space="preserve">Northamptonshire </w:t>
                          </w:r>
                        </w:p>
                        <w:p w14:paraId="743B8C31" w14:textId="77777777" w:rsidR="007706FC" w:rsidRPr="0009611A" w:rsidRDefault="007706FC" w:rsidP="007706FC">
                          <w:pPr>
                            <w:spacing w:after="0" w:line="240" w:lineRule="auto"/>
                            <w:rPr>
                              <w:rFonts w:ascii="Arial" w:hAnsi="Arial" w:cs="Arial"/>
                              <w:b/>
                              <w:color w:val="FFFFFF" w:themeColor="background1"/>
                              <w:sz w:val="32"/>
                              <w:szCs w:val="32"/>
                            </w:rPr>
                          </w:pPr>
                          <w:r w:rsidRPr="0009611A">
                            <w:rPr>
                              <w:rFonts w:ascii="Arial" w:hAnsi="Arial" w:cs="Arial"/>
                              <w:b/>
                              <w:color w:val="FFFFFF" w:themeColor="background1"/>
                              <w:sz w:val="32"/>
                              <w:szCs w:val="32"/>
                            </w:rPr>
                            <w:t>Fire and Rescue Service</w:t>
                          </w:r>
                        </w:p>
                        <w:p w14:paraId="2B7E1FA0" w14:textId="77777777" w:rsidR="007706FC" w:rsidRDefault="007706FC" w:rsidP="007706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0A659" id="_x0000_s1027" type="#_x0000_t202" alt="&quot;&quot;" style="position:absolute;margin-left:1.5pt;margin-top:-4.85pt;width:197.9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" filled="f" stroked="f">
              <v:textbox>
                <w:txbxContent>
                  <w:p w14:paraId="08EFD7EE" w14:textId="77777777" w:rsidR="007706FC" w:rsidRPr="0009611A" w:rsidRDefault="007706FC" w:rsidP="007706FC">
                    <w:pPr>
                      <w:spacing w:after="0" w:line="240" w:lineRule="auto"/>
                      <w:rPr>
                        <w:rFonts w:ascii="Arial" w:hAnsi="Arial" w:cs="Arial"/>
                        <w:b/>
                        <w:color w:val="FFFFFF" w:themeColor="background1"/>
                        <w:sz w:val="32"/>
                        <w:szCs w:val="32"/>
                      </w:rPr>
                    </w:pPr>
                    <w:r w:rsidRPr="0009611A">
                      <w:rPr>
                        <w:rFonts w:ascii="Arial" w:hAnsi="Arial" w:cs="Arial"/>
                        <w:b/>
                        <w:color w:val="FFFFFF" w:themeColor="background1"/>
                        <w:sz w:val="32"/>
                        <w:szCs w:val="32"/>
                      </w:rPr>
                      <w:t xml:space="preserve">Northamptonshire </w:t>
                    </w:r>
                  </w:p>
                  <w:p w14:paraId="743B8C31" w14:textId="77777777" w:rsidR="007706FC" w:rsidRPr="0009611A" w:rsidRDefault="007706FC" w:rsidP="007706FC">
                    <w:pPr>
                      <w:spacing w:after="0" w:line="240" w:lineRule="auto"/>
                      <w:rPr>
                        <w:rFonts w:ascii="Arial" w:hAnsi="Arial" w:cs="Arial"/>
                        <w:b/>
                        <w:color w:val="FFFFFF" w:themeColor="background1"/>
                        <w:sz w:val="32"/>
                        <w:szCs w:val="32"/>
                      </w:rPr>
                    </w:pPr>
                    <w:r w:rsidRPr="0009611A">
                      <w:rPr>
                        <w:rFonts w:ascii="Arial" w:hAnsi="Arial" w:cs="Arial"/>
                        <w:b/>
                        <w:color w:val="FFFFFF" w:themeColor="background1"/>
                        <w:sz w:val="32"/>
                        <w:szCs w:val="32"/>
                      </w:rPr>
                      <w:t>Fire and Rescue Service</w:t>
                    </w:r>
                  </w:p>
                  <w:p w14:paraId="2B7E1FA0" w14:textId="77777777" w:rsidR="007706FC" w:rsidRDefault="007706FC" w:rsidP="007706FC"/>
                </w:txbxContent>
              </v:textbox>
            </v:shape>
          </w:pict>
        </mc:Fallback>
      </mc:AlternateContent>
    </w:r>
    <w:r w:rsidRPr="007706FC">
      <w:rPr>
        <w:noProof/>
        <w:lang w:eastAsia="en-GB"/>
      </w:rPr>
      <mc:AlternateContent>
        <mc:Choice Requires="wps">
          <w:drawing>
            <wp:anchor distT="0" distB="0" distL="114300" distR="114300" simplePos="0" relativeHeight="251659264" behindDoc="1" locked="0" layoutInCell="1" allowOverlap="1" wp14:anchorId="4F417C45" wp14:editId="761DC661">
              <wp:simplePos x="0" y="0"/>
              <wp:positionH relativeFrom="column">
                <wp:posOffset>-714375</wp:posOffset>
              </wp:positionH>
              <wp:positionV relativeFrom="paragraph">
                <wp:posOffset>-137795</wp:posOffset>
              </wp:positionV>
              <wp:extent cx="7058025" cy="690880"/>
              <wp:effectExtent l="0" t="0" r="28575" b="13970"/>
              <wp:wrapSquare wrapText="bothSides"/>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690880"/>
                      </a:xfrm>
                      <a:prstGeom prst="round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3500000" scaled="1"/>
                        <a:tileRect/>
                      </a:gradFill>
                      <a:ln w="25400" cap="flat" cmpd="sng" algn="ctr">
                        <a:solidFill>
                          <a:srgbClr val="FF0000"/>
                        </a:solidFill>
                        <a:prstDash val="solid"/>
                      </a:ln>
                      <a:effectLst/>
                    </wps:spPr>
                    <wps:txbx>
                      <w:txbxContent>
                        <w:p w14:paraId="1188E404" w14:textId="77777777" w:rsidR="007706FC" w:rsidRPr="00B42BE2" w:rsidRDefault="007706FC" w:rsidP="007706FC">
                          <w:pPr>
                            <w:rPr>
                              <w:rFonts w:cs="Arial"/>
                              <w:color w:val="FFFFFF" w:themeColor="background1"/>
                              <w:szCs w:val="24"/>
                            </w:rPr>
                          </w:pPr>
                          <w:r w:rsidRPr="00093698">
                            <w:rPr>
                              <w:noProof/>
                              <w:lang w:eastAsia="en-GB"/>
                            </w:rPr>
                            <w:drawing>
                              <wp:inline distT="0" distB="0" distL="0" distR="0" wp14:anchorId="4BA01F6E" wp14:editId="3B2BCFB9">
                                <wp:extent cx="495300" cy="494016"/>
                                <wp:effectExtent l="0" t="0" r="0" b="1905"/>
                                <wp:docPr id="5" name="Picture 5" descr="Northampton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rthamptonshire Fire and Rescue Servic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5300" cy="494016"/>
                                        </a:xfrm>
                                        <a:prstGeom prst="rect">
                                          <a:avLst/>
                                        </a:prstGeom>
                                        <a:noFill/>
                                        <a:ln>
                                          <a:noFill/>
                                        </a:ln>
                                      </pic:spPr>
                                    </pic:pic>
                                  </a:graphicData>
                                </a:graphic>
                              </wp:inline>
                            </w:drawing>
                          </w:r>
                          <w:r>
                            <w:rPr>
                              <w:rFonts w:cs="Arial"/>
                              <w:color w:val="FFFFFF" w:themeColor="background1"/>
                              <w:szCs w:val="24"/>
                            </w:rPr>
                            <w:tab/>
                          </w:r>
                          <w:r>
                            <w:rPr>
                              <w:rFonts w:cs="Arial"/>
                              <w:color w:val="FFFFFF" w:themeColor="background1"/>
                              <w:szCs w:val="24"/>
                            </w:rPr>
                            <w:tab/>
                          </w:r>
                          <w:r w:rsidRPr="00B42BE2">
                            <w:rPr>
                              <w:rFonts w:cs="Arial"/>
                              <w:color w:val="FFFFFF" w:themeColor="background1"/>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17C45" id="Rounded Rectangle 4" o:spid="_x0000_s1028" alt="&quot;&quot;" style="position:absolute;margin-left:-56.25pt;margin-top:-10.85pt;width:555.75pt;height: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" fillcolor="#a00000" strokecolor="red" strokeweight="2pt">
              <v:fill color2="red" rotate="t" angle="225" colors="0 #a00000;.5 #e60000;1 red" focus="100%" type="gradient"/>
              <v:textbox>
                <w:txbxContent>
                  <w:p w14:paraId="1188E404" w14:textId="77777777" w:rsidR="007706FC" w:rsidRPr="00B42BE2" w:rsidRDefault="007706FC" w:rsidP="007706FC">
                    <w:pPr>
                      <w:rPr>
                        <w:rFonts w:cs="Arial"/>
                        <w:color w:val="FFFFFF" w:themeColor="background1"/>
                        <w:szCs w:val="24"/>
                      </w:rPr>
                    </w:pPr>
                    <w:r w:rsidRPr="00093698">
                      <w:rPr>
                        <w:noProof/>
                        <w:lang w:eastAsia="en-GB"/>
                      </w:rPr>
                      <w:drawing>
                        <wp:inline distT="0" distB="0" distL="0" distR="0" wp14:anchorId="4BA01F6E" wp14:editId="3B2BCFB9">
                          <wp:extent cx="495300" cy="494016"/>
                          <wp:effectExtent l="0" t="0" r="0" b="1905"/>
                          <wp:docPr id="5" name="Picture 5" descr="Northampton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rthamptonshire Fire and Rescue Servic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5300" cy="494016"/>
                                  </a:xfrm>
                                  <a:prstGeom prst="rect">
                                    <a:avLst/>
                                  </a:prstGeom>
                                  <a:noFill/>
                                  <a:ln>
                                    <a:noFill/>
                                  </a:ln>
                                </pic:spPr>
                              </pic:pic>
                            </a:graphicData>
                          </a:graphic>
                        </wp:inline>
                      </w:drawing>
                    </w:r>
                    <w:r>
                      <w:rPr>
                        <w:rFonts w:cs="Arial"/>
                        <w:color w:val="FFFFFF" w:themeColor="background1"/>
                        <w:szCs w:val="24"/>
                      </w:rPr>
                      <w:tab/>
                    </w:r>
                    <w:r>
                      <w:rPr>
                        <w:rFonts w:cs="Arial"/>
                        <w:color w:val="FFFFFF" w:themeColor="background1"/>
                        <w:szCs w:val="24"/>
                      </w:rPr>
                      <w:tab/>
                    </w:r>
                    <w:r w:rsidRPr="00B42BE2">
                      <w:rPr>
                        <w:rFonts w:cs="Arial"/>
                        <w:color w:val="FFFFFF" w:themeColor="background1"/>
                        <w:szCs w:val="24"/>
                      </w:rPr>
                      <w:t xml:space="preserve"> </w:t>
                    </w:r>
                  </w:p>
                </w:txbxContent>
              </v:textbox>
              <w10:wrap type="square"/>
            </v:roundrect>
          </w:pict>
        </mc:Fallback>
      </mc:AlternateContent>
    </w:r>
    <w:r w:rsidR="003F3071">
      <w:tab/>
    </w:r>
    <w:r w:rsidR="003F3071">
      <w:tab/>
    </w:r>
    <w:r w:rsidR="003F3071">
      <w:tab/>
    </w:r>
    <w:r w:rsidR="003F3071">
      <w:tab/>
    </w:r>
    <w:r w:rsidR="003F30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B71"/>
    <w:multiLevelType w:val="hybridMultilevel"/>
    <w:tmpl w:val="DE086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A8C489B"/>
    <w:multiLevelType w:val="hybridMultilevel"/>
    <w:tmpl w:val="7658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2AA3"/>
    <w:multiLevelType w:val="hybridMultilevel"/>
    <w:tmpl w:val="C57A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5EFE"/>
    <w:multiLevelType w:val="hybridMultilevel"/>
    <w:tmpl w:val="15AA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35F14"/>
    <w:multiLevelType w:val="multilevel"/>
    <w:tmpl w:val="ABB02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7407F"/>
    <w:multiLevelType w:val="hybridMultilevel"/>
    <w:tmpl w:val="F7286C78"/>
    <w:lvl w:ilvl="0" w:tplc="BF386E94">
      <w:numFmt w:val="bullet"/>
      <w:lvlText w:val=""/>
      <w:lvlJc w:val="left"/>
      <w:pPr>
        <w:ind w:left="1219" w:hanging="567"/>
      </w:pPr>
      <w:rPr>
        <w:rFonts w:ascii="Symbol" w:eastAsia="Symbol" w:hAnsi="Symbol" w:cs="Symbol" w:hint="default"/>
        <w:w w:val="100"/>
        <w:sz w:val="24"/>
        <w:szCs w:val="24"/>
        <w:lang w:val="en-GB" w:eastAsia="en-GB" w:bidi="en-GB"/>
      </w:rPr>
    </w:lvl>
    <w:lvl w:ilvl="1" w:tplc="DEB8F014">
      <w:numFmt w:val="bullet"/>
      <w:lvlText w:val="•"/>
      <w:lvlJc w:val="left"/>
      <w:pPr>
        <w:ind w:left="2198" w:hanging="567"/>
      </w:pPr>
      <w:rPr>
        <w:rFonts w:hint="default"/>
        <w:lang w:val="en-GB" w:eastAsia="en-GB" w:bidi="en-GB"/>
      </w:rPr>
    </w:lvl>
    <w:lvl w:ilvl="2" w:tplc="B8D2DD60">
      <w:numFmt w:val="bullet"/>
      <w:lvlText w:val="•"/>
      <w:lvlJc w:val="left"/>
      <w:pPr>
        <w:ind w:left="3177" w:hanging="567"/>
      </w:pPr>
      <w:rPr>
        <w:rFonts w:hint="default"/>
        <w:lang w:val="en-GB" w:eastAsia="en-GB" w:bidi="en-GB"/>
      </w:rPr>
    </w:lvl>
    <w:lvl w:ilvl="3" w:tplc="34668B92">
      <w:numFmt w:val="bullet"/>
      <w:lvlText w:val="•"/>
      <w:lvlJc w:val="left"/>
      <w:pPr>
        <w:ind w:left="4155" w:hanging="567"/>
      </w:pPr>
      <w:rPr>
        <w:rFonts w:hint="default"/>
        <w:lang w:val="en-GB" w:eastAsia="en-GB" w:bidi="en-GB"/>
      </w:rPr>
    </w:lvl>
    <w:lvl w:ilvl="4" w:tplc="E8E2DCE6">
      <w:numFmt w:val="bullet"/>
      <w:lvlText w:val="•"/>
      <w:lvlJc w:val="left"/>
      <w:pPr>
        <w:ind w:left="5134" w:hanging="567"/>
      </w:pPr>
      <w:rPr>
        <w:rFonts w:hint="default"/>
        <w:lang w:val="en-GB" w:eastAsia="en-GB" w:bidi="en-GB"/>
      </w:rPr>
    </w:lvl>
    <w:lvl w:ilvl="5" w:tplc="25C42442">
      <w:numFmt w:val="bullet"/>
      <w:lvlText w:val="•"/>
      <w:lvlJc w:val="left"/>
      <w:pPr>
        <w:ind w:left="6113" w:hanging="567"/>
      </w:pPr>
      <w:rPr>
        <w:rFonts w:hint="default"/>
        <w:lang w:val="en-GB" w:eastAsia="en-GB" w:bidi="en-GB"/>
      </w:rPr>
    </w:lvl>
    <w:lvl w:ilvl="6" w:tplc="62F4BD5C">
      <w:numFmt w:val="bullet"/>
      <w:lvlText w:val="•"/>
      <w:lvlJc w:val="left"/>
      <w:pPr>
        <w:ind w:left="7091" w:hanging="567"/>
      </w:pPr>
      <w:rPr>
        <w:rFonts w:hint="default"/>
        <w:lang w:val="en-GB" w:eastAsia="en-GB" w:bidi="en-GB"/>
      </w:rPr>
    </w:lvl>
    <w:lvl w:ilvl="7" w:tplc="EB1C35C6">
      <w:numFmt w:val="bullet"/>
      <w:lvlText w:val="•"/>
      <w:lvlJc w:val="left"/>
      <w:pPr>
        <w:ind w:left="8070" w:hanging="567"/>
      </w:pPr>
      <w:rPr>
        <w:rFonts w:hint="default"/>
        <w:lang w:val="en-GB" w:eastAsia="en-GB" w:bidi="en-GB"/>
      </w:rPr>
    </w:lvl>
    <w:lvl w:ilvl="8" w:tplc="76F4F142">
      <w:numFmt w:val="bullet"/>
      <w:lvlText w:val="•"/>
      <w:lvlJc w:val="left"/>
      <w:pPr>
        <w:ind w:left="9049" w:hanging="567"/>
      </w:pPr>
      <w:rPr>
        <w:rFonts w:hint="default"/>
        <w:lang w:val="en-GB" w:eastAsia="en-GB" w:bidi="en-GB"/>
      </w:rPr>
    </w:lvl>
  </w:abstractNum>
  <w:abstractNum w:abstractNumId="6" w15:restartNumberingAfterBreak="0">
    <w:nsid w:val="238E3DAE"/>
    <w:multiLevelType w:val="hybridMultilevel"/>
    <w:tmpl w:val="1A24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52285"/>
    <w:multiLevelType w:val="hybridMultilevel"/>
    <w:tmpl w:val="E0606640"/>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34D17270"/>
    <w:multiLevelType w:val="hybridMultilevel"/>
    <w:tmpl w:val="F6EA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D5445"/>
    <w:multiLevelType w:val="hybridMultilevel"/>
    <w:tmpl w:val="DA82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E2EE0"/>
    <w:multiLevelType w:val="hybridMultilevel"/>
    <w:tmpl w:val="18920B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A37508"/>
    <w:multiLevelType w:val="multilevel"/>
    <w:tmpl w:val="011033B8"/>
    <w:lvl w:ilvl="0">
      <w:start w:val="1"/>
      <w:numFmt w:val="bullet"/>
      <w:lvlText w:val=""/>
      <w:lvlJc w:val="left"/>
      <w:pPr>
        <w:tabs>
          <w:tab w:val="num" w:pos="4545"/>
        </w:tabs>
        <w:ind w:left="4545" w:hanging="360"/>
      </w:pPr>
      <w:rPr>
        <w:rFonts w:ascii="Symbol" w:hAnsi="Symbol" w:hint="default"/>
        <w:sz w:val="20"/>
      </w:rPr>
    </w:lvl>
    <w:lvl w:ilvl="1" w:tentative="1">
      <w:start w:val="1"/>
      <w:numFmt w:val="bullet"/>
      <w:lvlText w:val="o"/>
      <w:lvlJc w:val="left"/>
      <w:pPr>
        <w:tabs>
          <w:tab w:val="num" w:pos="5265"/>
        </w:tabs>
        <w:ind w:left="5265" w:hanging="360"/>
      </w:pPr>
      <w:rPr>
        <w:rFonts w:ascii="Courier New" w:hAnsi="Courier New" w:hint="default"/>
        <w:sz w:val="20"/>
      </w:rPr>
    </w:lvl>
    <w:lvl w:ilvl="2" w:tentative="1">
      <w:start w:val="1"/>
      <w:numFmt w:val="bullet"/>
      <w:lvlText w:val=""/>
      <w:lvlJc w:val="left"/>
      <w:pPr>
        <w:tabs>
          <w:tab w:val="num" w:pos="5985"/>
        </w:tabs>
        <w:ind w:left="5985" w:hanging="360"/>
      </w:pPr>
      <w:rPr>
        <w:rFonts w:ascii="Wingdings" w:hAnsi="Wingdings" w:hint="default"/>
        <w:sz w:val="20"/>
      </w:rPr>
    </w:lvl>
    <w:lvl w:ilvl="3" w:tentative="1">
      <w:start w:val="1"/>
      <w:numFmt w:val="bullet"/>
      <w:lvlText w:val=""/>
      <w:lvlJc w:val="left"/>
      <w:pPr>
        <w:tabs>
          <w:tab w:val="num" w:pos="6705"/>
        </w:tabs>
        <w:ind w:left="6705" w:hanging="360"/>
      </w:pPr>
      <w:rPr>
        <w:rFonts w:ascii="Wingdings" w:hAnsi="Wingdings" w:hint="default"/>
        <w:sz w:val="20"/>
      </w:rPr>
    </w:lvl>
    <w:lvl w:ilvl="4" w:tentative="1">
      <w:start w:val="1"/>
      <w:numFmt w:val="bullet"/>
      <w:lvlText w:val=""/>
      <w:lvlJc w:val="left"/>
      <w:pPr>
        <w:tabs>
          <w:tab w:val="num" w:pos="7425"/>
        </w:tabs>
        <w:ind w:left="7425" w:hanging="360"/>
      </w:pPr>
      <w:rPr>
        <w:rFonts w:ascii="Wingdings" w:hAnsi="Wingdings" w:hint="default"/>
        <w:sz w:val="20"/>
      </w:rPr>
    </w:lvl>
    <w:lvl w:ilvl="5" w:tentative="1">
      <w:start w:val="1"/>
      <w:numFmt w:val="bullet"/>
      <w:lvlText w:val=""/>
      <w:lvlJc w:val="left"/>
      <w:pPr>
        <w:tabs>
          <w:tab w:val="num" w:pos="8145"/>
        </w:tabs>
        <w:ind w:left="8145" w:hanging="360"/>
      </w:pPr>
      <w:rPr>
        <w:rFonts w:ascii="Wingdings" w:hAnsi="Wingdings" w:hint="default"/>
        <w:sz w:val="20"/>
      </w:rPr>
    </w:lvl>
    <w:lvl w:ilvl="6" w:tentative="1">
      <w:start w:val="1"/>
      <w:numFmt w:val="bullet"/>
      <w:lvlText w:val=""/>
      <w:lvlJc w:val="left"/>
      <w:pPr>
        <w:tabs>
          <w:tab w:val="num" w:pos="8865"/>
        </w:tabs>
        <w:ind w:left="8865" w:hanging="360"/>
      </w:pPr>
      <w:rPr>
        <w:rFonts w:ascii="Wingdings" w:hAnsi="Wingdings" w:hint="default"/>
        <w:sz w:val="20"/>
      </w:rPr>
    </w:lvl>
    <w:lvl w:ilvl="7" w:tentative="1">
      <w:start w:val="1"/>
      <w:numFmt w:val="bullet"/>
      <w:lvlText w:val=""/>
      <w:lvlJc w:val="left"/>
      <w:pPr>
        <w:tabs>
          <w:tab w:val="num" w:pos="9585"/>
        </w:tabs>
        <w:ind w:left="9585" w:hanging="360"/>
      </w:pPr>
      <w:rPr>
        <w:rFonts w:ascii="Wingdings" w:hAnsi="Wingdings" w:hint="default"/>
        <w:sz w:val="20"/>
      </w:rPr>
    </w:lvl>
    <w:lvl w:ilvl="8" w:tentative="1">
      <w:start w:val="1"/>
      <w:numFmt w:val="bullet"/>
      <w:lvlText w:val=""/>
      <w:lvlJc w:val="left"/>
      <w:pPr>
        <w:tabs>
          <w:tab w:val="num" w:pos="10305"/>
        </w:tabs>
        <w:ind w:left="10305" w:hanging="360"/>
      </w:pPr>
      <w:rPr>
        <w:rFonts w:ascii="Wingdings" w:hAnsi="Wingdings" w:hint="default"/>
        <w:sz w:val="20"/>
      </w:rPr>
    </w:lvl>
  </w:abstractNum>
  <w:abstractNum w:abstractNumId="12" w15:restartNumberingAfterBreak="0">
    <w:nsid w:val="60A55D68"/>
    <w:multiLevelType w:val="hybridMultilevel"/>
    <w:tmpl w:val="1BD0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97ECB"/>
    <w:multiLevelType w:val="hybridMultilevel"/>
    <w:tmpl w:val="38963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C84FF2"/>
    <w:multiLevelType w:val="hybridMultilevel"/>
    <w:tmpl w:val="3C528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98766A"/>
    <w:multiLevelType w:val="hybridMultilevel"/>
    <w:tmpl w:val="257C6D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559052192">
    <w:abstractNumId w:val="11"/>
  </w:num>
  <w:num w:numId="2" w16cid:durableId="323123330">
    <w:abstractNumId w:val="4"/>
  </w:num>
  <w:num w:numId="3" w16cid:durableId="480121434">
    <w:abstractNumId w:val="14"/>
  </w:num>
  <w:num w:numId="4" w16cid:durableId="368068474">
    <w:abstractNumId w:val="7"/>
  </w:num>
  <w:num w:numId="5" w16cid:durableId="932014938">
    <w:abstractNumId w:val="10"/>
  </w:num>
  <w:num w:numId="6" w16cid:durableId="1444691629">
    <w:abstractNumId w:val="15"/>
  </w:num>
  <w:num w:numId="7" w16cid:durableId="604387425">
    <w:abstractNumId w:val="0"/>
  </w:num>
  <w:num w:numId="8" w16cid:durableId="1722750384">
    <w:abstractNumId w:val="12"/>
  </w:num>
  <w:num w:numId="9" w16cid:durableId="2006667820">
    <w:abstractNumId w:val="13"/>
  </w:num>
  <w:num w:numId="10" w16cid:durableId="348289233">
    <w:abstractNumId w:val="3"/>
  </w:num>
  <w:num w:numId="11" w16cid:durableId="1865240595">
    <w:abstractNumId w:val="2"/>
  </w:num>
  <w:num w:numId="12" w16cid:durableId="1720009527">
    <w:abstractNumId w:val="1"/>
  </w:num>
  <w:num w:numId="13" w16cid:durableId="285821625">
    <w:abstractNumId w:val="8"/>
  </w:num>
  <w:num w:numId="14" w16cid:durableId="1813058275">
    <w:abstractNumId w:val="6"/>
  </w:num>
  <w:num w:numId="15" w16cid:durableId="1264799859">
    <w:abstractNumId w:val="9"/>
  </w:num>
  <w:num w:numId="16" w16cid:durableId="573978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C/kLZCg7WNVdmZCzYvqOBOQGm5nATs3DbToUV3qC8+fRVUeox3W+/cHa4ouR/PKPUSrhxP/i8FSdsGWrqAZSRg==" w:salt="uEq00yzDxJKUdS1y01rS/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E2"/>
    <w:rsid w:val="00020636"/>
    <w:rsid w:val="0002690C"/>
    <w:rsid w:val="00030C0C"/>
    <w:rsid w:val="00034910"/>
    <w:rsid w:val="0003590C"/>
    <w:rsid w:val="00043BCE"/>
    <w:rsid w:val="00052E60"/>
    <w:rsid w:val="00053876"/>
    <w:rsid w:val="00054D7E"/>
    <w:rsid w:val="0006784E"/>
    <w:rsid w:val="00071A7A"/>
    <w:rsid w:val="00073479"/>
    <w:rsid w:val="000A44D7"/>
    <w:rsid w:val="000B2E43"/>
    <w:rsid w:val="000B5FC7"/>
    <w:rsid w:val="000B6AC0"/>
    <w:rsid w:val="000C2752"/>
    <w:rsid w:val="000C5910"/>
    <w:rsid w:val="000C700E"/>
    <w:rsid w:val="000E0DDD"/>
    <w:rsid w:val="000F1114"/>
    <w:rsid w:val="000F758B"/>
    <w:rsid w:val="0010199B"/>
    <w:rsid w:val="001056DB"/>
    <w:rsid w:val="00111A4F"/>
    <w:rsid w:val="00115FAD"/>
    <w:rsid w:val="00120379"/>
    <w:rsid w:val="001210E6"/>
    <w:rsid w:val="00124324"/>
    <w:rsid w:val="00127260"/>
    <w:rsid w:val="00142AFE"/>
    <w:rsid w:val="0014361D"/>
    <w:rsid w:val="001514AB"/>
    <w:rsid w:val="00154430"/>
    <w:rsid w:val="00175153"/>
    <w:rsid w:val="001A3011"/>
    <w:rsid w:val="001B28BB"/>
    <w:rsid w:val="001D1660"/>
    <w:rsid w:val="002058D2"/>
    <w:rsid w:val="00211410"/>
    <w:rsid w:val="002372D9"/>
    <w:rsid w:val="0025017D"/>
    <w:rsid w:val="00257AA0"/>
    <w:rsid w:val="00263401"/>
    <w:rsid w:val="00287D2A"/>
    <w:rsid w:val="00293799"/>
    <w:rsid w:val="00294218"/>
    <w:rsid w:val="002A12F6"/>
    <w:rsid w:val="002B0445"/>
    <w:rsid w:val="002C6576"/>
    <w:rsid w:val="002D38DD"/>
    <w:rsid w:val="002D50F6"/>
    <w:rsid w:val="002F3BC9"/>
    <w:rsid w:val="002F485B"/>
    <w:rsid w:val="003029F4"/>
    <w:rsid w:val="003033D1"/>
    <w:rsid w:val="00307FA6"/>
    <w:rsid w:val="00316959"/>
    <w:rsid w:val="003253F3"/>
    <w:rsid w:val="00344652"/>
    <w:rsid w:val="00350900"/>
    <w:rsid w:val="00350AFB"/>
    <w:rsid w:val="00357CB9"/>
    <w:rsid w:val="00363225"/>
    <w:rsid w:val="003A0D33"/>
    <w:rsid w:val="003A4007"/>
    <w:rsid w:val="003B57D8"/>
    <w:rsid w:val="003C11B9"/>
    <w:rsid w:val="003D3409"/>
    <w:rsid w:val="003D4E6A"/>
    <w:rsid w:val="003E4BB7"/>
    <w:rsid w:val="003E6812"/>
    <w:rsid w:val="003F3071"/>
    <w:rsid w:val="00404EEE"/>
    <w:rsid w:val="004208C2"/>
    <w:rsid w:val="004267CC"/>
    <w:rsid w:val="00463A16"/>
    <w:rsid w:val="00465D26"/>
    <w:rsid w:val="0048012F"/>
    <w:rsid w:val="004979AF"/>
    <w:rsid w:val="004A55D6"/>
    <w:rsid w:val="004B3102"/>
    <w:rsid w:val="004B6379"/>
    <w:rsid w:val="004B6F34"/>
    <w:rsid w:val="004D0DE2"/>
    <w:rsid w:val="004D7CD1"/>
    <w:rsid w:val="004E1607"/>
    <w:rsid w:val="004F53B8"/>
    <w:rsid w:val="00514A7F"/>
    <w:rsid w:val="0053025A"/>
    <w:rsid w:val="005416FF"/>
    <w:rsid w:val="00543126"/>
    <w:rsid w:val="00550B7A"/>
    <w:rsid w:val="00564ED7"/>
    <w:rsid w:val="00576D27"/>
    <w:rsid w:val="005B2F16"/>
    <w:rsid w:val="005B75DB"/>
    <w:rsid w:val="005D1081"/>
    <w:rsid w:val="005D450A"/>
    <w:rsid w:val="005E0AF4"/>
    <w:rsid w:val="005E4CB1"/>
    <w:rsid w:val="005F5DF4"/>
    <w:rsid w:val="00602AB0"/>
    <w:rsid w:val="006266E2"/>
    <w:rsid w:val="006273C4"/>
    <w:rsid w:val="00653ADE"/>
    <w:rsid w:val="00667792"/>
    <w:rsid w:val="00692EFC"/>
    <w:rsid w:val="0069329D"/>
    <w:rsid w:val="006A1C2E"/>
    <w:rsid w:val="006A3F8F"/>
    <w:rsid w:val="006B04BE"/>
    <w:rsid w:val="006B10CB"/>
    <w:rsid w:val="006D4220"/>
    <w:rsid w:val="006E3A73"/>
    <w:rsid w:val="006F28C6"/>
    <w:rsid w:val="00710852"/>
    <w:rsid w:val="00712DB3"/>
    <w:rsid w:val="0075270F"/>
    <w:rsid w:val="00754A0B"/>
    <w:rsid w:val="007706FC"/>
    <w:rsid w:val="007807DC"/>
    <w:rsid w:val="00781000"/>
    <w:rsid w:val="0078491F"/>
    <w:rsid w:val="00784D9F"/>
    <w:rsid w:val="007A01E0"/>
    <w:rsid w:val="007A3801"/>
    <w:rsid w:val="007A7D19"/>
    <w:rsid w:val="007B00FD"/>
    <w:rsid w:val="007C2FCA"/>
    <w:rsid w:val="007D005D"/>
    <w:rsid w:val="007E3C4E"/>
    <w:rsid w:val="007E4F92"/>
    <w:rsid w:val="00800628"/>
    <w:rsid w:val="0080662F"/>
    <w:rsid w:val="00812494"/>
    <w:rsid w:val="0083108E"/>
    <w:rsid w:val="00834C7E"/>
    <w:rsid w:val="00842EBA"/>
    <w:rsid w:val="008433E3"/>
    <w:rsid w:val="00847870"/>
    <w:rsid w:val="00854A60"/>
    <w:rsid w:val="008C0649"/>
    <w:rsid w:val="008C0CEC"/>
    <w:rsid w:val="008E70C5"/>
    <w:rsid w:val="008F2E82"/>
    <w:rsid w:val="00902BDF"/>
    <w:rsid w:val="009034D4"/>
    <w:rsid w:val="00912671"/>
    <w:rsid w:val="0091791A"/>
    <w:rsid w:val="00924D00"/>
    <w:rsid w:val="00931D15"/>
    <w:rsid w:val="009452B6"/>
    <w:rsid w:val="00947E6A"/>
    <w:rsid w:val="00950CF4"/>
    <w:rsid w:val="00951EDB"/>
    <w:rsid w:val="00952428"/>
    <w:rsid w:val="00956A9C"/>
    <w:rsid w:val="009655BE"/>
    <w:rsid w:val="0097796A"/>
    <w:rsid w:val="00986EE7"/>
    <w:rsid w:val="0099163C"/>
    <w:rsid w:val="009A3273"/>
    <w:rsid w:val="009A6018"/>
    <w:rsid w:val="009B1D25"/>
    <w:rsid w:val="009B2F50"/>
    <w:rsid w:val="009B337B"/>
    <w:rsid w:val="009B3AE2"/>
    <w:rsid w:val="009B4BBE"/>
    <w:rsid w:val="009C770E"/>
    <w:rsid w:val="009E376A"/>
    <w:rsid w:val="009F1594"/>
    <w:rsid w:val="00A04475"/>
    <w:rsid w:val="00A23436"/>
    <w:rsid w:val="00A320B7"/>
    <w:rsid w:val="00A4276D"/>
    <w:rsid w:val="00A44939"/>
    <w:rsid w:val="00A53E7C"/>
    <w:rsid w:val="00A5568E"/>
    <w:rsid w:val="00A6571D"/>
    <w:rsid w:val="00A741A2"/>
    <w:rsid w:val="00A7573D"/>
    <w:rsid w:val="00A77943"/>
    <w:rsid w:val="00A8508E"/>
    <w:rsid w:val="00AA0E8C"/>
    <w:rsid w:val="00AA2E39"/>
    <w:rsid w:val="00AA676D"/>
    <w:rsid w:val="00AB2B54"/>
    <w:rsid w:val="00AC6E65"/>
    <w:rsid w:val="00AE0678"/>
    <w:rsid w:val="00AE6619"/>
    <w:rsid w:val="00AF31B2"/>
    <w:rsid w:val="00AF6A62"/>
    <w:rsid w:val="00B15517"/>
    <w:rsid w:val="00B16551"/>
    <w:rsid w:val="00B21EAE"/>
    <w:rsid w:val="00B21F1B"/>
    <w:rsid w:val="00B42BE2"/>
    <w:rsid w:val="00B55AAB"/>
    <w:rsid w:val="00B64955"/>
    <w:rsid w:val="00B66541"/>
    <w:rsid w:val="00B727CE"/>
    <w:rsid w:val="00B7481A"/>
    <w:rsid w:val="00B827A9"/>
    <w:rsid w:val="00BC17B0"/>
    <w:rsid w:val="00BC223D"/>
    <w:rsid w:val="00BD5785"/>
    <w:rsid w:val="00BD796A"/>
    <w:rsid w:val="00BD7F5F"/>
    <w:rsid w:val="00BF04F1"/>
    <w:rsid w:val="00BF1F2A"/>
    <w:rsid w:val="00C0269E"/>
    <w:rsid w:val="00C10C51"/>
    <w:rsid w:val="00C26084"/>
    <w:rsid w:val="00C26087"/>
    <w:rsid w:val="00C34C16"/>
    <w:rsid w:val="00C4758E"/>
    <w:rsid w:val="00C61567"/>
    <w:rsid w:val="00C66A7E"/>
    <w:rsid w:val="00C803B9"/>
    <w:rsid w:val="00C87833"/>
    <w:rsid w:val="00C91F4B"/>
    <w:rsid w:val="00CA7F80"/>
    <w:rsid w:val="00CB5D33"/>
    <w:rsid w:val="00CC6B36"/>
    <w:rsid w:val="00CD77A2"/>
    <w:rsid w:val="00CE0F3B"/>
    <w:rsid w:val="00CF1DB9"/>
    <w:rsid w:val="00CF406E"/>
    <w:rsid w:val="00CF4CC9"/>
    <w:rsid w:val="00D01677"/>
    <w:rsid w:val="00D369BF"/>
    <w:rsid w:val="00D43C8D"/>
    <w:rsid w:val="00D443CA"/>
    <w:rsid w:val="00D46B70"/>
    <w:rsid w:val="00D704B8"/>
    <w:rsid w:val="00D71EEE"/>
    <w:rsid w:val="00D74DCF"/>
    <w:rsid w:val="00D91388"/>
    <w:rsid w:val="00D9365C"/>
    <w:rsid w:val="00D9559E"/>
    <w:rsid w:val="00DB0B07"/>
    <w:rsid w:val="00DC4AC2"/>
    <w:rsid w:val="00DF3B09"/>
    <w:rsid w:val="00DF6B1E"/>
    <w:rsid w:val="00E05EAB"/>
    <w:rsid w:val="00E07D77"/>
    <w:rsid w:val="00E14BE6"/>
    <w:rsid w:val="00E160E5"/>
    <w:rsid w:val="00E22FA7"/>
    <w:rsid w:val="00E52FED"/>
    <w:rsid w:val="00E5379F"/>
    <w:rsid w:val="00E53D84"/>
    <w:rsid w:val="00E70BC1"/>
    <w:rsid w:val="00EA6497"/>
    <w:rsid w:val="00EB0DB5"/>
    <w:rsid w:val="00EC561A"/>
    <w:rsid w:val="00EC590D"/>
    <w:rsid w:val="00EF0AAF"/>
    <w:rsid w:val="00EF343B"/>
    <w:rsid w:val="00F021D9"/>
    <w:rsid w:val="00F23E36"/>
    <w:rsid w:val="00F45CDE"/>
    <w:rsid w:val="00F816C7"/>
    <w:rsid w:val="00F83F41"/>
    <w:rsid w:val="00F87AAF"/>
    <w:rsid w:val="00F92F1E"/>
    <w:rsid w:val="00F9597E"/>
    <w:rsid w:val="00F96FCE"/>
    <w:rsid w:val="00FB2050"/>
    <w:rsid w:val="00FC2D7F"/>
    <w:rsid w:val="00FC5735"/>
    <w:rsid w:val="00FC7913"/>
    <w:rsid w:val="00FE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20EA07F"/>
  <w15:docId w15:val="{722BB793-1B21-4406-813B-7EF892FC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F1E"/>
    <w:pPr>
      <w:keepNext/>
      <w:keepLines/>
      <w:spacing w:after="0" w:line="240" w:lineRule="auto"/>
      <w:outlineLvl w:val="0"/>
    </w:pPr>
    <w:rPr>
      <w:rFonts w:ascii="Arial" w:eastAsiaTheme="majorEastAsia" w:hAnsi="Arial" w:cstheme="majorBidi"/>
      <w:b/>
      <w:caps/>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BE2"/>
    <w:rPr>
      <w:rFonts w:ascii="Tahoma" w:hAnsi="Tahoma" w:cs="Tahoma"/>
      <w:sz w:val="16"/>
      <w:szCs w:val="16"/>
    </w:rPr>
  </w:style>
  <w:style w:type="paragraph" w:styleId="Header">
    <w:name w:val="header"/>
    <w:basedOn w:val="Normal"/>
    <w:link w:val="HeaderChar"/>
    <w:uiPriority w:val="99"/>
    <w:unhideWhenUsed/>
    <w:rsid w:val="00B4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BE2"/>
  </w:style>
  <w:style w:type="paragraph" w:styleId="Footer">
    <w:name w:val="footer"/>
    <w:basedOn w:val="Normal"/>
    <w:link w:val="FooterChar"/>
    <w:uiPriority w:val="99"/>
    <w:unhideWhenUsed/>
    <w:rsid w:val="00B4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E2"/>
  </w:style>
  <w:style w:type="character" w:styleId="Hyperlink">
    <w:name w:val="Hyperlink"/>
    <w:basedOn w:val="DefaultParagraphFont"/>
    <w:uiPriority w:val="99"/>
    <w:unhideWhenUsed/>
    <w:rsid w:val="00043BCE"/>
    <w:rPr>
      <w:color w:val="0000FF"/>
      <w:u w:val="single"/>
    </w:rPr>
  </w:style>
  <w:style w:type="character" w:styleId="Strong">
    <w:name w:val="Strong"/>
    <w:basedOn w:val="DefaultParagraphFont"/>
    <w:uiPriority w:val="22"/>
    <w:qFormat/>
    <w:rsid w:val="00043BCE"/>
    <w:rPr>
      <w:b/>
      <w:bCs/>
    </w:rPr>
  </w:style>
  <w:style w:type="paragraph" w:styleId="NormalWeb">
    <w:name w:val="Normal (Web)"/>
    <w:basedOn w:val="Normal"/>
    <w:uiPriority w:val="99"/>
    <w:semiHidden/>
    <w:unhideWhenUsed/>
    <w:rsid w:val="00043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E3C4E"/>
    <w:rPr>
      <w:color w:val="800080" w:themeColor="followedHyperlink"/>
      <w:u w:val="single"/>
    </w:rPr>
  </w:style>
  <w:style w:type="paragraph" w:styleId="ListParagraph">
    <w:name w:val="List Paragraph"/>
    <w:basedOn w:val="Normal"/>
    <w:uiPriority w:val="34"/>
    <w:qFormat/>
    <w:rsid w:val="00404EEE"/>
    <w:pPr>
      <w:ind w:left="720"/>
      <w:contextualSpacing/>
    </w:pPr>
  </w:style>
  <w:style w:type="table" w:styleId="TableGrid">
    <w:name w:val="Table Grid"/>
    <w:basedOn w:val="TableNormal"/>
    <w:uiPriority w:val="59"/>
    <w:rsid w:val="00F92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2F1E"/>
    <w:rPr>
      <w:rFonts w:ascii="Arial" w:eastAsiaTheme="majorEastAsia" w:hAnsi="Arial" w:cstheme="majorBidi"/>
      <w:b/>
      <w:caps/>
      <w:color w:val="000000" w:themeColor="text1"/>
      <w:sz w:val="24"/>
      <w:szCs w:val="32"/>
    </w:rPr>
  </w:style>
  <w:style w:type="paragraph" w:styleId="TOC1">
    <w:name w:val="toc 1"/>
    <w:basedOn w:val="Normal"/>
    <w:next w:val="Normal"/>
    <w:autoRedefine/>
    <w:uiPriority w:val="39"/>
    <w:unhideWhenUsed/>
    <w:rsid w:val="00F92F1E"/>
    <w:pPr>
      <w:tabs>
        <w:tab w:val="left" w:pos="567"/>
        <w:tab w:val="right" w:leader="dot" w:pos="9749"/>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sigroup.com/en-GB/"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hyperlink" Target="https://www.thebesa.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ommunities.gov.uk/fir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re.gov.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NFRS Document" ma:contentTypeID="0x010100E03EC33D8DD3814C81F2F02A280336000056E4556EDB2A7A439DC45C0DD897B74A" ma:contentTypeVersion="21" ma:contentTypeDescription="Contains agreed metadata for NFRS" ma:contentTypeScope="" ma:versionID="b30dcd160383b70d848b40e8334d523b">
  <xsd:schema xmlns:xsd="http://www.w3.org/2001/XMLSchema" xmlns:xs="http://www.w3.org/2001/XMLSchema" xmlns:p="http://schemas.microsoft.com/office/2006/metadata/properties" xmlns:ns2="1bac89f0-b805-4234-bb1a-c7eda73a45ef" xmlns:ns3="82249fe0-aaee-4734-994f-bbef708d4933" targetNamespace="http://schemas.microsoft.com/office/2006/metadata/properties" ma:root="true" ma:fieldsID="a88a6ae4fd2da5b37492f83cdf3494eb" ns2:_="" ns3:_="">
    <xsd:import namespace="1bac89f0-b805-4234-bb1a-c7eda73a45ef"/>
    <xsd:import namespace="82249fe0-aaee-4734-994f-bbef708d4933"/>
    <xsd:element name="properties">
      <xsd:complexType>
        <xsd:sequence>
          <xsd:element name="documentManagement">
            <xsd:complexType>
              <xsd:all>
                <xsd:element ref="ns2:Subject_x002f_description" minOccurs="0"/>
                <xsd:element ref="ns2:Owner_x0020_Job_x0020_Title"/>
                <xsd:element ref="ns2:NFRS_x0020_department" minOccurs="0"/>
                <xsd:element ref="ns2:Document_x0020_type" minOccurs="0"/>
                <xsd:element ref="ns2:Published_x0020_date" minOccurs="0"/>
                <xsd:element ref="ns2:Retention_x002f_review_x0020_date"/>
                <xsd:element ref="ns2:Protective_x0020_marking"/>
                <xsd:element ref="ns3:Template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89f0-b805-4234-bb1a-c7eda73a45ef" elementFormDefault="qualified">
    <xsd:import namespace="http://schemas.microsoft.com/office/2006/documentManagement/types"/>
    <xsd:import namespace="http://schemas.microsoft.com/office/infopath/2007/PartnerControls"/>
    <xsd:element name="Subject_x002f_description" ma:index="1" nillable="true" ma:displayName="Subject/description" ma:internalName="Subject_x002F_description">
      <xsd:simpleType>
        <xsd:restriction base="dms:Note">
          <xsd:maxLength value="255"/>
        </xsd:restriction>
      </xsd:simpleType>
    </xsd:element>
    <xsd:element name="Owner_x0020_Job_x0020_Title" ma:index="2" ma:displayName="Owner job title" ma:internalName="Owner_x0020_Job_x0020_Title" ma:readOnly="false">
      <xsd:simpleType>
        <xsd:restriction base="dms:Text">
          <xsd:maxLength value="255"/>
        </xsd:restriction>
      </xsd:simpleType>
    </xsd:element>
    <xsd:element name="NFRS_x0020_department" ma:index="3" nillable="true" ma:displayName="NFRS department" ma:internalName="NFRS_x0020_department" ma:requiredMultiChoice="true">
      <xsd:complexType>
        <xsd:complexContent>
          <xsd:extension base="dms:MultiChoice">
            <xsd:sequence>
              <xsd:element name="Value" maxOccurs="unbounded" minOccurs="0" nillable="true">
                <xsd:simpleType>
                  <xsd:restriction base="dms:Choice">
                    <xsd:enumeration value="Community Prevention"/>
                    <xsd:enumeration value="Community Protection"/>
                    <xsd:enumeration value="CRGs"/>
                    <xsd:enumeration value="Engineering Services"/>
                    <xsd:enumeration value="Fire Control"/>
                    <xsd:enumeration value="Health and Safety"/>
                    <xsd:enumeration value="HR"/>
                    <xsd:enumeration value="Information Systems Group"/>
                    <xsd:enumeration value="Service Information"/>
                    <xsd:enumeration value="Service Improvement"/>
                    <xsd:enumeration value="SLT"/>
                    <xsd:enumeration value="Operations"/>
                    <xsd:enumeration value="Projects"/>
                    <xsd:enumeration value="Training and Development"/>
                  </xsd:restriction>
                </xsd:simpleType>
              </xsd:element>
            </xsd:sequence>
          </xsd:extension>
        </xsd:complexContent>
      </xsd:complexType>
    </xsd:element>
    <xsd:element name="Document_x0020_type" ma:index="4"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Correspondence (letter/e-mail/memo etc.)"/>
                    <xsd:enumeration value="EqIA"/>
                    <xsd:enumeration value="Fire Alert"/>
                    <xsd:enumeration value="Form (FB form etc.)"/>
                    <xsd:enumeration value="Guidance"/>
                    <xsd:enumeration value="Meetings (minutes/agenda etc.)"/>
                    <xsd:enumeration value="Picture"/>
                    <xsd:enumeration value="Report"/>
                    <xsd:enumeration value="Risk Assessment"/>
                    <xsd:enumeration value="Service document (SOP/SLA/GRA/ISA etc.)"/>
                    <xsd:enumeration value="Template"/>
                  </xsd:restriction>
                </xsd:simpleType>
              </xsd:element>
            </xsd:sequence>
          </xsd:extension>
        </xsd:complexContent>
      </xsd:complexType>
    </xsd:element>
    <xsd:element name="Published_x0020_date" ma:index="5" nillable="true" ma:displayName="Published date" ma:format="DateOnly" ma:internalName="Published_x0020_date">
      <xsd:simpleType>
        <xsd:restriction base="dms:DateTime"/>
      </xsd:simpleType>
    </xsd:element>
    <xsd:element name="Retention_x002f_review_x0020_date" ma:index="6" ma:displayName="Review date" ma:format="DateOnly" ma:internalName="Retention_x002F_review_x0020_date">
      <xsd:simpleType>
        <xsd:restriction base="dms:DateTime"/>
      </xsd:simpleType>
    </xsd:element>
    <xsd:element name="Protective_x0020_marking" ma:index="7" ma:displayName="Protective marking" ma:default="Official" ma:format="Dropdown" ma:internalName="Protective_x0020_marking">
      <xsd:simpleType>
        <xsd:restriction base="dms:Choice">
          <xsd:enumeration value="Official"/>
          <xsd:enumeration value="Official - Sensitive"/>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82249fe0-aaee-4734-994f-bbef708d4933" elementFormDefault="qualified">
    <xsd:import namespace="http://schemas.microsoft.com/office/2006/documentManagement/types"/>
    <xsd:import namespace="http://schemas.microsoft.com/office/infopath/2007/PartnerControls"/>
    <xsd:element name="Template_x0020_type" ma:index="15" ma:displayName="Template type" ma:default="Other" ma:format="Dropdown" ma:internalName="Template_x0020_type">
      <xsd:simpleType>
        <xsd:restriction base="dms:Choice">
          <xsd:enumeration value="Purchasing"/>
          <xsd:enumeration value="Meetings/minutes"/>
          <xsd:enumeration value="Policies/Strategies"/>
          <xsd:enumeration value="Procedures"/>
          <xsd:enumeration value="Guidance"/>
          <xsd:enumeration value="Reports"/>
          <xsd:enumeration value="Information Management"/>
          <xsd:enumeration value="Establishment"/>
          <xsd:enumeration value="Documents"/>
          <xsd:enumeration value="Operations"/>
          <xsd:enumeration value="Social Media"/>
          <xsd:enumeration value="Enabling Services"/>
          <xsd:enumeration value="Assessments/Analysi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1bac89f0-b805-4234-bb1a-c7eda73a45ef">
      <Value>Template</Value>
    </Document_x0020_type>
    <NFRS_x0020_department xmlns="1bac89f0-b805-4234-bb1a-c7eda73a45ef">
      <Value>Service Information</Value>
    </NFRS_x0020_department>
    <Published_x0020_date xmlns="1bac89f0-b805-4234-bb1a-c7eda73a45ef">2022-07-24T23:00:00+00:00</Published_x0020_date>
    <Owner_x0020_Job_x0020_Title xmlns="1bac89f0-b805-4234-bb1a-c7eda73a45ef">Service Information Manager</Owner_x0020_Job_x0020_Title>
    <Subject_x002f_description xmlns="1bac89f0-b805-4234-bb1a-c7eda73a45ef" xsi:nil="true"/>
    <Retention_x002f_review_x0020_date xmlns="1bac89f0-b805-4234-bb1a-c7eda73a45ef">2023-07-24T23:00:00+00:00</Retention_x002f_review_x0020_date>
    <Protective_x0020_marking xmlns="1bac89f0-b805-4234-bb1a-c7eda73a45ef">Official</Protective_x0020_marking>
    <Template_x0020_type xmlns="82249fe0-aaee-4734-994f-bbef708d4933">Guidance</Template_x0020_type>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2FFB910-81F9-4C42-B7DD-34C7170D333C}">
  <ds:schemaRefs>
    <ds:schemaRef ds:uri="http://schemas.openxmlformats.org/officeDocument/2006/bibliography"/>
  </ds:schemaRefs>
</ds:datastoreItem>
</file>

<file path=customXml/itemProps2.xml><?xml version="1.0" encoding="utf-8"?>
<ds:datastoreItem xmlns:ds="http://schemas.openxmlformats.org/officeDocument/2006/customXml" ds:itemID="{F7369D7C-5F1B-4EB4-8B47-51E85EDAE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89f0-b805-4234-bb1a-c7eda73a45ef"/>
    <ds:schemaRef ds:uri="82249fe0-aaee-4734-994f-bbef708d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FBDFC-6F57-4421-80AA-10A4091D25A7}">
  <ds:schemaRefs>
    <ds:schemaRef ds:uri="http://schemas.microsoft.com/sharepoint/v3/contenttype/forms"/>
  </ds:schemaRefs>
</ds:datastoreItem>
</file>

<file path=customXml/itemProps4.xml><?xml version="1.0" encoding="utf-8"?>
<ds:datastoreItem xmlns:ds="http://schemas.openxmlformats.org/officeDocument/2006/customXml" ds:itemID="{D2C041A9-4648-4C2A-AEDC-0DFA1B516F8C}">
  <ds:schemaRefs>
    <ds:schemaRef ds:uri="1bac89f0-b805-4234-bb1a-c7eda73a45ef"/>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82249fe0-aaee-4734-994f-bbef708d4933"/>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270C22D2-630A-428A-9B2F-C3DF9E35E60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2752</Words>
  <Characters>15687</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guidance note on catering kitchen extract systems</dc:title>
  <dc:creator>Jessica Cooke</dc:creator>
  <cp:lastModifiedBy>Jessica Cooke</cp:lastModifiedBy>
  <cp:revision>3</cp:revision>
  <cp:lastPrinted>2013-07-30T14:33:00Z</cp:lastPrinted>
  <dcterms:created xsi:type="dcterms:W3CDTF">2022-11-25T20:09:00Z</dcterms:created>
  <dcterms:modified xsi:type="dcterms:W3CDTF">2022-11-25T20:17:00Z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0x010100E03EC33D8DD3814C81F2F02A280336000056E4556EDB2A7A439DC45C0DD897B74A</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